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061EA43B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D26177">
        <w:rPr>
          <w:rFonts w:ascii="Arial" w:eastAsia="Times New Roman" w:hAnsi="Arial" w:cs="Arial"/>
          <w:b/>
          <w:bCs/>
          <w:color w:val="000000"/>
          <w:lang w:val="es-PE" w:eastAsia="es-PE"/>
        </w:rPr>
        <w:t>N°09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3C207D63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CE1C0B" w:rsidRPr="00CE1C0B">
        <w:rPr>
          <w:rFonts w:ascii="Arial" w:hAnsi="Arial" w:cs="Arial"/>
          <w:b/>
          <w:bCs/>
          <w:color w:val="000000"/>
        </w:rPr>
        <w:t>ASISTENTE ADMINISTRATIVO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3DD26114" w:rsidR="001838F0" w:rsidRPr="008967D4" w:rsidRDefault="007B5E35" w:rsidP="00E26C2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D2617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7D86AF5" w:rsidR="001838F0" w:rsidRPr="008967D4" w:rsidRDefault="00E26C28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8A37580" w:rsidR="001838F0" w:rsidRPr="00E26C28" w:rsidRDefault="00E26C28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ASISTENTE ADMINISTRATIVO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0CD92B24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D26177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09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E26C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ASISTENTE ADMINISTRATIVO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5908D9E" w:rsidR="001E577A" w:rsidRPr="00FC1B46" w:rsidRDefault="001F004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>ON Y FINANZAS – AREA DE LOGÍSTICA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A9728FA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D261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09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73C8688D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 w:rsidR="003207C1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hasta las 23.59 horas del día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38EEB1B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832D4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5ABE999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832D4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09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3C9F7D2A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832D4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09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6530194D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832D4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09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45455492" w:rsidR="00CF4E17" w:rsidRPr="00ED36D0" w:rsidRDefault="001F004A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11</w:t>
                  </w:r>
                  <w:r w:rsidR="00F642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:45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4EB23935" w:rsidR="00496196" w:rsidRPr="009D6BB4" w:rsidRDefault="00605177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EVALUACIÓN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605177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605177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605177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12317784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25506D">
        <w:rPr>
          <w:rFonts w:cs="Arial"/>
          <w:color w:val="000000"/>
        </w:rPr>
        <w:t>- Área de Logística.</w:t>
      </w:r>
    </w:p>
    <w:p w14:paraId="6F7FCFEE" w14:textId="77777777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D96F86" w:rsidRPr="00D96F86">
        <w:rPr>
          <w:rFonts w:ascii="Arial" w:eastAsia="Times New Roman" w:hAnsi="Arial" w:cs="Arial"/>
          <w:bCs/>
          <w:color w:val="000000"/>
          <w:sz w:val="20"/>
          <w:szCs w:val="20"/>
        </w:rPr>
        <w:t>ASISTENTE ADMINISTRATIVO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78D27288" w14:textId="77777777" w:rsidR="0025506D" w:rsidRPr="004B4EF5" w:rsidRDefault="0025506D" w:rsidP="0025506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4B4EF5">
        <w:rPr>
          <w:rFonts w:cs="Arial"/>
          <w:bCs/>
          <w:lang w:val="es-MX"/>
        </w:rPr>
        <w:t>Registro de información en el Sistema de Gestión Documentaria – SISGED, relacionado a los documentos generados.</w:t>
      </w:r>
    </w:p>
    <w:p w14:paraId="3C80CB9C" w14:textId="77777777" w:rsidR="0025506D" w:rsidRPr="004B4EF5" w:rsidRDefault="0025506D" w:rsidP="0025506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4B4EF5">
        <w:rPr>
          <w:rFonts w:cs="Arial"/>
          <w:bCs/>
          <w:lang w:val="es-MX"/>
        </w:rPr>
        <w:t xml:space="preserve">Recepción de los documentos en el Sistema de Gestión Documentaria – SISGED, relacionado a los documentos generados. </w:t>
      </w:r>
    </w:p>
    <w:p w14:paraId="340FF16B" w14:textId="77777777" w:rsidR="0025506D" w:rsidRPr="004B4EF5" w:rsidRDefault="0025506D" w:rsidP="0025506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4B4EF5">
        <w:rPr>
          <w:rFonts w:cs="Arial"/>
          <w:bCs/>
          <w:lang w:val="es-MX"/>
        </w:rPr>
        <w:t>Derivación y seguimiento de los documentos en el Sistema de Gestión Documentaria – SISGED, ingresados por la Dirección.</w:t>
      </w:r>
    </w:p>
    <w:p w14:paraId="62AD763A" w14:textId="77777777" w:rsidR="0025506D" w:rsidRPr="004B4EF5" w:rsidRDefault="0025506D" w:rsidP="0025506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4B4EF5">
        <w:rPr>
          <w:rFonts w:cs="Arial"/>
          <w:bCs/>
          <w:lang w:val="es-MX"/>
        </w:rPr>
        <w:t xml:space="preserve">Llevar la programación de la agenda de la </w:t>
      </w:r>
      <w:r w:rsidRPr="004B4EF5">
        <w:rPr>
          <w:rFonts w:cs="Arial"/>
        </w:rPr>
        <w:t>Dirección.</w:t>
      </w:r>
    </w:p>
    <w:p w14:paraId="339D7F8A" w14:textId="77777777" w:rsidR="0025506D" w:rsidRPr="004B4EF5" w:rsidRDefault="0025506D" w:rsidP="0025506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4B4EF5">
        <w:rPr>
          <w:rFonts w:cs="Arial"/>
          <w:bCs/>
          <w:lang w:val="es-MX"/>
        </w:rPr>
        <w:t>Gestionar</w:t>
      </w:r>
      <w:r w:rsidRPr="004B4EF5">
        <w:rPr>
          <w:rFonts w:cs="Arial"/>
          <w:shd w:val="clear" w:color="auto" w:fill="FFFFFF"/>
        </w:rPr>
        <w:t xml:space="preserve"> las solicitudes de viáticos, pasajes y planillas de viajes </w:t>
      </w:r>
      <w:r w:rsidRPr="004B4EF5">
        <w:rPr>
          <w:rFonts w:cs="Arial"/>
          <w:bCs/>
          <w:lang w:val="es-MX"/>
        </w:rPr>
        <w:t>de la Dirección.</w:t>
      </w:r>
    </w:p>
    <w:p w14:paraId="3C329D43" w14:textId="77777777" w:rsidR="0025506D" w:rsidRPr="004B4EF5" w:rsidRDefault="0025506D" w:rsidP="0025506D">
      <w:pPr>
        <w:pStyle w:val="Prrafodelista"/>
        <w:numPr>
          <w:ilvl w:val="3"/>
          <w:numId w:val="19"/>
        </w:numPr>
        <w:ind w:left="426" w:hanging="426"/>
        <w:rPr>
          <w:rFonts w:cs="Arial"/>
          <w:bCs/>
          <w:lang w:val="es-MX"/>
        </w:rPr>
      </w:pPr>
      <w:r w:rsidRPr="004B4EF5">
        <w:rPr>
          <w:rFonts w:cs="Arial"/>
          <w:bCs/>
          <w:lang w:val="es-MX"/>
        </w:rPr>
        <w:t xml:space="preserve">Elaboración de la Solicitud (PECOSA) de Útiles de Escritorio, de acuerdo a lo dispuesto la  </w:t>
      </w:r>
      <w:r w:rsidRPr="004B4EF5">
        <w:rPr>
          <w:rFonts w:cs="Arial"/>
        </w:rPr>
        <w:t>Dirección.</w:t>
      </w:r>
    </w:p>
    <w:p w14:paraId="7CC7DBCB" w14:textId="77777777" w:rsidR="0025506D" w:rsidRPr="004B4EF5" w:rsidRDefault="0025506D" w:rsidP="0025506D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4B4EF5">
        <w:rPr>
          <w:rFonts w:cs="Arial"/>
          <w:color w:val="000000"/>
        </w:rPr>
        <w:t xml:space="preserve">Formular los requerimientos del material de Dirección y distribuirlo, llevando el control respectivo. </w:t>
      </w:r>
    </w:p>
    <w:p w14:paraId="1A47ED64" w14:textId="77777777" w:rsidR="0025506D" w:rsidRPr="004B4EF5" w:rsidRDefault="0025506D" w:rsidP="0025506D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4B4EF5">
        <w:rPr>
          <w:rFonts w:cs="Arial"/>
          <w:color w:val="000000"/>
        </w:rPr>
        <w:t>Atender y procesar las comunicaciones telefónicas y concertar las citas que se solicitan.</w:t>
      </w:r>
    </w:p>
    <w:p w14:paraId="546AC582" w14:textId="77777777" w:rsidR="0025506D" w:rsidRPr="004B4EF5" w:rsidRDefault="0025506D" w:rsidP="0025506D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4B4EF5">
        <w:rPr>
          <w:rFonts w:cs="Arial"/>
          <w:color w:val="000000"/>
        </w:rPr>
        <w:t>Otras funciones asignadas por la Dirección, relacionada a la misión del puesto</w:t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</w:p>
    <w:p w14:paraId="6B61A13B" w14:textId="6FE6803C" w:rsidR="004B0806" w:rsidRPr="004B080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25506D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25506D" w:rsidRPr="00B5313E" w:rsidRDefault="0025506D" w:rsidP="0025506D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9E07B90" w14:textId="77777777" w:rsidR="0025506D" w:rsidRPr="001F36A5" w:rsidRDefault="0025506D" w:rsidP="0025506D">
            <w:pPr>
              <w:numPr>
                <w:ilvl w:val="0"/>
                <w:numId w:val="21"/>
              </w:numPr>
              <w:ind w:left="358" w:right="191" w:hanging="284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F36A5">
              <w:rPr>
                <w:rFonts w:asciiTheme="minorHAnsi" w:hAnsiTheme="minorHAnsi" w:cs="Arial"/>
                <w:color w:val="000000"/>
                <w:sz w:val="22"/>
                <w:szCs w:val="22"/>
              </w:rPr>
              <w:t>Experiencia laboral General de tres (03) años en el Sector Público y/o Privado.</w:t>
            </w:r>
          </w:p>
          <w:p w14:paraId="03F10B2C" w14:textId="77777777" w:rsidR="0025506D" w:rsidRPr="004B4EF5" w:rsidRDefault="0025506D" w:rsidP="0025506D">
            <w:pPr>
              <w:numPr>
                <w:ilvl w:val="0"/>
                <w:numId w:val="21"/>
              </w:numPr>
              <w:ind w:left="358" w:right="191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B4EF5">
              <w:rPr>
                <w:rFonts w:asciiTheme="minorHAnsi" w:hAnsiTheme="minorHAnsi" w:cs="Arial"/>
                <w:sz w:val="22"/>
                <w:szCs w:val="22"/>
                <w:lang w:val="es-MX"/>
              </w:rPr>
              <w:t>Experiencia laboral de dos (02) años realizando labores administrativas similares.</w:t>
            </w:r>
          </w:p>
          <w:p w14:paraId="39411308" w14:textId="514651E1" w:rsidR="0025506D" w:rsidRPr="009D7BCA" w:rsidRDefault="0025506D" w:rsidP="0025506D">
            <w:pPr>
              <w:numPr>
                <w:ilvl w:val="0"/>
                <w:numId w:val="2"/>
              </w:num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4EF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Experiencia laboral en el sector público de dos (02) años. </w:t>
            </w:r>
          </w:p>
        </w:tc>
      </w:tr>
      <w:tr w:rsidR="0025506D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25506D" w:rsidRPr="00B5313E" w:rsidRDefault="0025506D" w:rsidP="0025506D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C4314B4" w14:textId="77777777" w:rsidR="0025506D" w:rsidRPr="004B4EF5" w:rsidRDefault="0025506D" w:rsidP="0025506D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>Orientación hacia resultados.</w:t>
            </w:r>
          </w:p>
          <w:p w14:paraId="047DE3FC" w14:textId="77777777" w:rsidR="0025506D" w:rsidRPr="004B4EF5" w:rsidRDefault="0025506D" w:rsidP="0025506D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Trabajo en equipo </w:t>
            </w:r>
          </w:p>
          <w:p w14:paraId="6C9FDC90" w14:textId="77777777" w:rsidR="0025506D" w:rsidRPr="004B4EF5" w:rsidRDefault="0025506D" w:rsidP="0025506D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Vocación de servicio </w:t>
            </w:r>
          </w:p>
          <w:p w14:paraId="3EBA4A4B" w14:textId="11BFF5BD" w:rsidR="0025506D" w:rsidRPr="009D7BCA" w:rsidRDefault="0025506D" w:rsidP="0025506D">
            <w:pPr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25506D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25506D" w:rsidRPr="00B5313E" w:rsidRDefault="0025506D" w:rsidP="0025506D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5ED462" w14:textId="08847D24" w:rsidR="0025506D" w:rsidRPr="009D7BCA" w:rsidRDefault="0025506D" w:rsidP="0025506D">
            <w:pPr>
              <w:numPr>
                <w:ilvl w:val="0"/>
                <w:numId w:val="2"/>
              </w:numPr>
              <w:ind w:left="4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4EF5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 xml:space="preserve">Estudios en Administración, y/o Titulo de Secretariado </w:t>
            </w:r>
          </w:p>
        </w:tc>
      </w:tr>
      <w:tr w:rsidR="0025506D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25506D" w:rsidRPr="00B5313E" w:rsidRDefault="0025506D" w:rsidP="0025506D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C17258" w14:textId="77777777" w:rsidR="0025506D" w:rsidRPr="004B4EF5" w:rsidRDefault="0025506D" w:rsidP="0025506D">
            <w:pPr>
              <w:ind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14C7082" w14:textId="77777777" w:rsidR="0025506D" w:rsidRPr="004B4EF5" w:rsidRDefault="0025506D" w:rsidP="0025506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12" w:right="191" w:hanging="284"/>
              <w:jc w:val="both"/>
              <w:rPr>
                <w:rFonts w:cs="Arial"/>
                <w:color w:val="000000"/>
              </w:rPr>
            </w:pPr>
            <w:r w:rsidRPr="004B4EF5">
              <w:rPr>
                <w:rFonts w:cs="Arial"/>
                <w:color w:val="000000"/>
              </w:rPr>
              <w:t>Estudios de computación</w:t>
            </w:r>
          </w:p>
          <w:p w14:paraId="7905440A" w14:textId="7A1CFFCD" w:rsidR="0025506D" w:rsidRPr="00A90393" w:rsidRDefault="0025506D" w:rsidP="0025506D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25506D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25506D" w:rsidRPr="00B5313E" w:rsidRDefault="0025506D" w:rsidP="0025506D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B21A37" w14:textId="77777777" w:rsidR="0025506D" w:rsidRPr="004B4EF5" w:rsidRDefault="0025506D" w:rsidP="0025506D">
            <w:pPr>
              <w:numPr>
                <w:ilvl w:val="0"/>
                <w:numId w:val="23"/>
              </w:numPr>
              <w:ind w:left="358" w:right="191" w:hanging="284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sz w:val="22"/>
                <w:szCs w:val="22"/>
                <w:lang w:val="es-ES"/>
              </w:rPr>
              <w:t>Sistema Trámite Documentario</w:t>
            </w:r>
          </w:p>
          <w:p w14:paraId="0DA46DBA" w14:textId="77777777" w:rsidR="0025506D" w:rsidRPr="004B4EF5" w:rsidRDefault="0025506D" w:rsidP="0025506D">
            <w:pPr>
              <w:numPr>
                <w:ilvl w:val="0"/>
                <w:numId w:val="23"/>
              </w:numPr>
              <w:ind w:left="358" w:right="191" w:hanging="284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sz w:val="22"/>
                <w:szCs w:val="22"/>
                <w:lang w:val="es-ES"/>
              </w:rPr>
              <w:t>dominio de sistemas computarizados, programas informáticos y del entorno Windows.</w:t>
            </w:r>
          </w:p>
          <w:p w14:paraId="0D84CF35" w14:textId="78121F74" w:rsidR="0025506D" w:rsidRPr="009A31A1" w:rsidRDefault="0025506D" w:rsidP="0025506D">
            <w:pPr>
              <w:numPr>
                <w:ilvl w:val="0"/>
                <w:numId w:val="2"/>
              </w:num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sz w:val="22"/>
                <w:szCs w:val="22"/>
                <w:lang w:val="es-ES"/>
              </w:rPr>
              <w:t>Manejo de Sistemas Informático secretarial</w:t>
            </w: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C62162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C62162" w:rsidRPr="00E21185" w:rsidRDefault="00C62162" w:rsidP="00C6216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31CFAF3D" w:rsidR="00C62162" w:rsidRPr="00E21185" w:rsidRDefault="00C62162" w:rsidP="00C62162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Área de Logística – OAF </w:t>
            </w: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Sede Central del PSI.</w:t>
            </w:r>
          </w:p>
        </w:tc>
      </w:tr>
      <w:tr w:rsidR="00C62162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C62162" w:rsidRPr="00E21185" w:rsidRDefault="00C62162" w:rsidP="00C6216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4016268C" w:rsidR="00C62162" w:rsidRPr="00E21185" w:rsidRDefault="00C62162" w:rsidP="00C62162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Inicio: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Julio</w:t>
            </w: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2019   </w:t>
            </w:r>
          </w:p>
        </w:tc>
      </w:tr>
      <w:tr w:rsidR="00C62162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C62162" w:rsidRPr="00E21185" w:rsidRDefault="00C62162" w:rsidP="00C6216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7C8BA5FE" w:rsidR="00C62162" w:rsidRPr="00E21185" w:rsidRDefault="00C62162" w:rsidP="00C62162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Término: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Setiembre</w:t>
            </w: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de 2019</w:t>
            </w:r>
          </w:p>
        </w:tc>
      </w:tr>
      <w:tr w:rsidR="00C62162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C62162" w:rsidRPr="00E21185" w:rsidRDefault="00C62162" w:rsidP="00C6216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9AFD3" w14:textId="03BA4669" w:rsidR="00C62162" w:rsidRPr="00E21185" w:rsidRDefault="00C62162" w:rsidP="00C62162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S/. 3,000.00 (Tres mil </w:t>
            </w:r>
            <w:r w:rsidRPr="004B4EF5">
              <w:rPr>
                <w:rFonts w:asciiTheme="minorHAnsi" w:hAnsiTheme="minorHAnsi" w:cs="Arial"/>
                <w:sz w:val="22"/>
                <w:szCs w:val="22"/>
              </w:rPr>
              <w:t>y 00/100 Soles)</w:t>
            </w: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>. Incluyen todos los montos y afiliaciones de ley, así como toda deducción aplicable al trabajador.</w:t>
            </w:r>
          </w:p>
        </w:tc>
      </w:tr>
      <w:tr w:rsidR="00C62162" w:rsidRPr="00E21185" w14:paraId="643F167B" w14:textId="77777777" w:rsidTr="00A17576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C62162" w:rsidRPr="00E21185" w:rsidRDefault="00C62162" w:rsidP="00C6216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C9B7E0A" w14:textId="5C79F08F" w:rsidR="00C62162" w:rsidRPr="00E21185" w:rsidRDefault="00C62162" w:rsidP="00C62162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 </w:t>
            </w:r>
            <w:r w:rsidRPr="004B4EF5">
              <w:rPr>
                <w:rFonts w:asciiTheme="minorHAnsi" w:hAnsiTheme="minorHAns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  <w:bookmarkStart w:id="0" w:name="_GoBack"/>
      <w:bookmarkEnd w:id="0"/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77" w:rsidRPr="00605177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228C"/>
    <w:multiLevelType w:val="hybridMultilevel"/>
    <w:tmpl w:val="06182B50"/>
    <w:lvl w:ilvl="0" w:tplc="EBF4ACB8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9">
    <w:nsid w:val="71E372B1"/>
    <w:multiLevelType w:val="hybridMultilevel"/>
    <w:tmpl w:val="E62E01C4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7A44D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17"/>
  </w:num>
  <w:num w:numId="19">
    <w:abstractNumId w:val="5"/>
  </w:num>
  <w:num w:numId="20">
    <w:abstractNumId w:val="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07C1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5177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32D43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26177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50CB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445C1"/>
    <w:rsid w:val="00F504B9"/>
    <w:rsid w:val="00F51ADB"/>
    <w:rsid w:val="00F56A5F"/>
    <w:rsid w:val="00F60069"/>
    <w:rsid w:val="00F615F4"/>
    <w:rsid w:val="00F6428A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28029-5E5B-4612-B176-1658823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12</Pages>
  <Words>3482</Words>
  <Characters>19151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22588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407</cp:revision>
  <cp:lastPrinted>2019-05-06T15:33:00Z</cp:lastPrinted>
  <dcterms:created xsi:type="dcterms:W3CDTF">2019-01-24T19:07:00Z</dcterms:created>
  <dcterms:modified xsi:type="dcterms:W3CDTF">2019-05-15T20:18:00Z</dcterms:modified>
</cp:coreProperties>
</file>