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31FA4878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377538">
        <w:rPr>
          <w:rFonts w:ascii="Arial" w:eastAsia="Times New Roman" w:hAnsi="Arial" w:cs="Arial"/>
          <w:b/>
          <w:bCs/>
          <w:color w:val="000000"/>
          <w:lang w:val="es-PE" w:eastAsia="es-PE"/>
        </w:rPr>
        <w:t>N°1</w:t>
      </w:r>
      <w:r w:rsidR="00B54800">
        <w:rPr>
          <w:rFonts w:ascii="Arial" w:eastAsia="Times New Roman" w:hAnsi="Arial" w:cs="Arial"/>
          <w:b/>
          <w:bCs/>
          <w:color w:val="000000"/>
          <w:lang w:val="es-PE" w:eastAsia="es-PE"/>
        </w:rPr>
        <w:t>1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1AAFED9E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634FEC">
        <w:rPr>
          <w:rFonts w:ascii="Arial" w:hAnsi="Arial" w:cs="Arial"/>
          <w:b/>
          <w:bCs/>
          <w:color w:val="000000"/>
        </w:rPr>
        <w:t>ESPECIALISTA EN CONTRATACIONES</w:t>
      </w:r>
      <w:r w:rsidR="00CE1C0B" w:rsidRPr="00E2118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45C75AED" w:rsidR="001838F0" w:rsidRPr="008967D4" w:rsidRDefault="00B54800" w:rsidP="003775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7D86AF5" w:rsidR="001838F0" w:rsidRPr="008967D4" w:rsidRDefault="00E26C28" w:rsidP="00D261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4814EA03" w:rsidR="001838F0" w:rsidRPr="00E26C28" w:rsidRDefault="00B54800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ESPECIALISTA EN CONTRATACIONES</w:t>
            </w:r>
            <w:r w:rsidR="00E26C28"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C52EB5C" w14:textId="77777777" w:rsidR="00D26177" w:rsidRDefault="00D26177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7803DCA7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377538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1</w:t>
      </w:r>
      <w:r w:rsidR="00B54800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1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B54800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ESPECIALISTA EN CONTRATACIONES 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5908D9E" w:rsidR="001E577A" w:rsidRPr="00FC1B46" w:rsidRDefault="001F004A" w:rsidP="00D26177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OFICINA DE ADMINISTRACI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>ON Y FINANZAS – AREA DE LOGÍSTICA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0AC88948" w:rsidR="001E577A" w:rsidRPr="0071330C" w:rsidRDefault="001E577A" w:rsidP="00B54800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78538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</w:t>
            </w:r>
            <w:r w:rsidR="00B5480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1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54DC3E3F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</w:t>
                  </w:r>
                  <w:r w:rsidR="00583D8F">
                    <w:rPr>
                      <w:rFonts w:ascii="Arial" w:eastAsia="Times New Roman" w:hAnsi="Arial" w:cs="Arial"/>
                      <w:sz w:val="20"/>
                      <w:szCs w:val="20"/>
                    </w:rPr>
                    <w:t>s 23.59 horas del día 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E3269CE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Nº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1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59A6E313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11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58A92797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565F05B1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6C19A9CB" w:rsidR="00CF4E17" w:rsidRPr="00ED36D0" w:rsidRDefault="00583D8F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12:15</w:t>
                  </w:r>
                  <w:r w:rsidR="00B548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4B6313BD" w:rsidR="00496196" w:rsidRPr="00C902F1" w:rsidRDefault="00496196" w:rsidP="00C902F1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CURRICU</w:t>
      </w:r>
      <w:r w:rsidR="00C902F1"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Pr="00C902F1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C902F1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C902F1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C902F1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12317784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D96F86">
        <w:rPr>
          <w:rFonts w:cs="Arial"/>
          <w:color w:val="000000"/>
        </w:rPr>
        <w:t>Oficina de Administración y Finanzas</w:t>
      </w:r>
      <w:r w:rsidR="0025506D">
        <w:rPr>
          <w:rFonts w:cs="Arial"/>
          <w:color w:val="000000"/>
        </w:rPr>
        <w:t>- Área de Logística.</w:t>
      </w:r>
    </w:p>
    <w:p w14:paraId="6F7FCFEE" w14:textId="01218C02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4D7BD4">
        <w:rPr>
          <w:rFonts w:ascii="Arial" w:eastAsia="Times New Roman" w:hAnsi="Arial" w:cs="Arial"/>
          <w:bCs/>
          <w:color w:val="000000"/>
          <w:sz w:val="20"/>
          <w:szCs w:val="20"/>
        </w:rPr>
        <w:t>ESPECIALISTA EN CONTRATACIONES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3A27376A" w14:textId="77777777" w:rsidR="004D7BD4" w:rsidRPr="00155898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Efectuar la programación, ejecución, control, almacenamiento y distribución de la adquisición de bienes.</w:t>
      </w:r>
    </w:p>
    <w:p w14:paraId="0D85A0A6" w14:textId="77777777" w:rsidR="004D7BD4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Coordinar el requerimiento de bienes y servicios y formular los cuadros de necesidades.</w:t>
      </w:r>
    </w:p>
    <w:p w14:paraId="5A70AA30" w14:textId="77777777" w:rsidR="004D7BD4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Formular y consolidar y controlar el Plan Anual de Contrataciones, de acuerdo a las previsiones correspondientes al PSI.</w:t>
      </w:r>
    </w:p>
    <w:p w14:paraId="2F3DE1E2" w14:textId="77777777" w:rsidR="004D7BD4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 Supervisar la elaboración de los expedientes de los contratos resultantes de todo proceso de selección, como soporte de las órdenes emitidas y/o contratos suscritos acorde a la normativa.</w:t>
      </w:r>
    </w:p>
    <w:p w14:paraId="740F6AE6" w14:textId="77777777" w:rsidR="004D7BD4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Administrar los servicios auxiliares como son: transportes, impresiones, mantenimientos de las instalaciones y seguridad del PSI.</w:t>
      </w:r>
    </w:p>
    <w:p w14:paraId="0E84E48E" w14:textId="77777777" w:rsidR="004D7BD4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Solicitar las disponibilidades presupuestales para la contratación de bienes y servicios. </w:t>
      </w:r>
    </w:p>
    <w:p w14:paraId="1B40DDC0" w14:textId="77777777" w:rsidR="004D7BD4" w:rsidRPr="00E0439E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Supervisar la aplicación adecuada y oportuna del registro de las fases contenidos en cada proceso de selección, en el Sistema Electrónico de Adquisiciones y Contrataciones del Estado – SEACE.  </w:t>
      </w:r>
    </w:p>
    <w:p w14:paraId="2287D123" w14:textId="77777777" w:rsidR="004D7BD4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Participar en los comités especiales para la adquisición de bienes y servicios.</w:t>
      </w:r>
    </w:p>
    <w:p w14:paraId="4F6F0301" w14:textId="77777777" w:rsidR="004D7BD4" w:rsidRPr="00467C57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Dar Conformidad a los diversos procesos de servicios y/o adquisiciones, ajustados a normas y procedimientos vigentes.</w:t>
      </w:r>
    </w:p>
    <w:p w14:paraId="70D32EA7" w14:textId="77777777" w:rsidR="004D7BD4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Dirigir, coordinar y supervisar las acciones del Control Patrimonial y pólizas de seguros</w:t>
      </w:r>
      <w:r>
        <w:rPr>
          <w:rFonts w:ascii="Calibri" w:hAnsi="Calibri" w:cs="Arial"/>
          <w:color w:val="000000"/>
          <w:sz w:val="22"/>
          <w:szCs w:val="20"/>
        </w:rPr>
        <w:t>.</w:t>
      </w:r>
    </w:p>
    <w:p w14:paraId="70B1AF15" w14:textId="77777777" w:rsidR="004D7BD4" w:rsidRPr="00467C57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Supervisar las actividades del Archivo Central del PSI. Recepción documentaria, vigilancia y conserjería.</w:t>
      </w:r>
    </w:p>
    <w:p w14:paraId="6B96A08D" w14:textId="77777777" w:rsidR="004D7BD4" w:rsidRPr="0032368C" w:rsidRDefault="004D7BD4" w:rsidP="004D7BD4">
      <w:pPr>
        <w:numPr>
          <w:ilvl w:val="0"/>
          <w:numId w:val="24"/>
        </w:numPr>
        <w:ind w:left="355" w:hanging="283"/>
        <w:contextualSpacing/>
        <w:rPr>
          <w:rFonts w:ascii="Calibri" w:hAnsi="Calibri" w:cs="Calibri"/>
          <w:sz w:val="22"/>
          <w:szCs w:val="22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Otras actividades</w:t>
      </w:r>
      <w:r w:rsidRPr="00467C57">
        <w:rPr>
          <w:rFonts w:ascii="Calibri" w:hAnsi="Calibri" w:cs="Calibri"/>
          <w:color w:val="000000"/>
          <w:sz w:val="22"/>
          <w:szCs w:val="22"/>
        </w:rPr>
        <w:t xml:space="preserve"> que le asignen el Jefe de la Oficina </w:t>
      </w:r>
      <w:r>
        <w:rPr>
          <w:rFonts w:ascii="Calibri" w:hAnsi="Calibri" w:cs="Calibri"/>
          <w:color w:val="000000"/>
          <w:sz w:val="22"/>
          <w:szCs w:val="22"/>
        </w:rPr>
        <w:t xml:space="preserve">de </w:t>
      </w:r>
      <w:r w:rsidRPr="00467C57">
        <w:rPr>
          <w:rFonts w:ascii="Calibri" w:hAnsi="Calibri" w:cs="Calibri"/>
          <w:color w:val="000000"/>
          <w:sz w:val="22"/>
          <w:szCs w:val="22"/>
        </w:rPr>
        <w:t>Administración y Finanzas.</w:t>
      </w:r>
    </w:p>
    <w:p w14:paraId="2A77E6C7" w14:textId="77777777" w:rsidR="009D7E4E" w:rsidRPr="004D7BD4" w:rsidRDefault="009D7E4E" w:rsidP="009D7E4E">
      <w:pPr>
        <w:pStyle w:val="Prrafodelista"/>
        <w:spacing w:after="0" w:line="240" w:lineRule="auto"/>
        <w:ind w:left="426"/>
        <w:jc w:val="both"/>
        <w:rPr>
          <w:rFonts w:cs="Arial"/>
          <w:color w:val="000000"/>
          <w:lang w:val="es-ES_tradnl"/>
        </w:rPr>
      </w:pPr>
    </w:p>
    <w:p w14:paraId="6B61A13B" w14:textId="339F952F" w:rsidR="004B0806" w:rsidRPr="004D7BD4" w:rsidRDefault="004D7BD4" w:rsidP="004D7BD4">
      <w:pPr>
        <w:pStyle w:val="Prrafodelista"/>
        <w:spacing w:after="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4D7BD4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ACFE93C" w14:textId="77777777" w:rsidR="004D7BD4" w:rsidRDefault="004D7BD4" w:rsidP="0009391B">
            <w:pPr>
              <w:numPr>
                <w:ilvl w:val="0"/>
                <w:numId w:val="14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laboral general de cinco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(0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5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) años en el Sector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p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úblico y Privado</w:t>
            </w:r>
          </w:p>
          <w:p w14:paraId="5533754B" w14:textId="77777777" w:rsidR="004D7BD4" w:rsidRPr="005E3988" w:rsidRDefault="004D7BD4" w:rsidP="0009391B">
            <w:pPr>
              <w:numPr>
                <w:ilvl w:val="0"/>
                <w:numId w:val="14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Experiencia laboral en el puesto de tres  (03) años en el sector público.</w:t>
            </w:r>
          </w:p>
          <w:p w14:paraId="32279790" w14:textId="77777777" w:rsidR="004D7BD4" w:rsidRDefault="004D7BD4" w:rsidP="0009391B">
            <w:pPr>
              <w:numPr>
                <w:ilvl w:val="0"/>
                <w:numId w:val="14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de dos (02) años en Logística. </w:t>
            </w:r>
          </w:p>
          <w:p w14:paraId="39411308" w14:textId="138A46EF" w:rsidR="004D7BD4" w:rsidRPr="009D7BCA" w:rsidRDefault="004D7BD4" w:rsidP="0009391B">
            <w:pPr>
              <w:tabs>
                <w:tab w:val="num" w:pos="455"/>
              </w:tabs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BD4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3EE3692" w14:textId="77777777" w:rsidR="004D7BD4" w:rsidRPr="00467C57" w:rsidRDefault="004D7BD4" w:rsidP="0009391B">
            <w:pPr>
              <w:numPr>
                <w:ilvl w:val="0"/>
                <w:numId w:val="2"/>
              </w:numPr>
              <w:tabs>
                <w:tab w:val="num" w:pos="455"/>
              </w:tabs>
              <w:ind w:left="72" w:firstLine="0"/>
              <w:rPr>
                <w:rFonts w:ascii="Calibri" w:hAnsi="Calibri" w:cs="Arial"/>
                <w:w w:val="102"/>
                <w:sz w:val="22"/>
                <w:szCs w:val="20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>Liderazgo</w:t>
            </w:r>
          </w:p>
          <w:p w14:paraId="54B04EE9" w14:textId="77777777" w:rsidR="004D7BD4" w:rsidRPr="00467C57" w:rsidRDefault="004D7BD4" w:rsidP="0009391B">
            <w:pPr>
              <w:numPr>
                <w:ilvl w:val="0"/>
                <w:numId w:val="2"/>
              </w:numPr>
              <w:tabs>
                <w:tab w:val="num" w:pos="455"/>
              </w:tabs>
              <w:ind w:left="72" w:firstLine="0"/>
              <w:rPr>
                <w:rFonts w:ascii="Calibri" w:hAnsi="Calibri" w:cs="Arial"/>
                <w:w w:val="102"/>
                <w:sz w:val="22"/>
                <w:szCs w:val="20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>Orientación hacia resultados</w:t>
            </w:r>
          </w:p>
          <w:p w14:paraId="3EBA4A4B" w14:textId="0AD0329D" w:rsidR="004D7BD4" w:rsidRPr="009D7BCA" w:rsidRDefault="004D7BD4" w:rsidP="0009391B">
            <w:pPr>
              <w:tabs>
                <w:tab w:val="num" w:pos="455"/>
              </w:tabs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 xml:space="preserve">Trabajo en equipo </w:t>
            </w:r>
          </w:p>
        </w:tc>
      </w:tr>
      <w:tr w:rsidR="004D7BD4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9DC1507" w14:textId="77777777" w:rsidR="004D7BD4" w:rsidRDefault="004D7BD4" w:rsidP="0009391B">
            <w:pPr>
              <w:numPr>
                <w:ilvl w:val="0"/>
                <w:numId w:val="2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Título Profesional: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 Contador Público,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Administración, Economista, Ingeniero, Abogado.</w:t>
            </w:r>
          </w:p>
          <w:p w14:paraId="615ED462" w14:textId="6B1F8163" w:rsidR="004D7BD4" w:rsidRPr="009D7BCA" w:rsidRDefault="004D7BD4" w:rsidP="00B55ACC">
            <w:pPr>
              <w:numPr>
                <w:ilvl w:val="0"/>
                <w:numId w:val="2"/>
              </w:numPr>
              <w:tabs>
                <w:tab w:val="num" w:pos="314"/>
              </w:tabs>
              <w:ind w:left="314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 C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olegiado y habilitación vigente.</w:t>
            </w:r>
          </w:p>
        </w:tc>
      </w:tr>
      <w:tr w:rsidR="004D7BD4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B3969F" w14:textId="77777777" w:rsidR="004D7BD4" w:rsidRDefault="004D7BD4" w:rsidP="0009391B">
            <w:pPr>
              <w:numPr>
                <w:ilvl w:val="0"/>
                <w:numId w:val="2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Egresado de maestría</w:t>
            </w:r>
          </w:p>
          <w:p w14:paraId="2EA61BB8" w14:textId="77777777" w:rsidR="004D7BD4" w:rsidRDefault="004D7BD4" w:rsidP="0009391B">
            <w:pPr>
              <w:numPr>
                <w:ilvl w:val="0"/>
                <w:numId w:val="2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Especialista en gerencia pública </w:t>
            </w:r>
          </w:p>
          <w:p w14:paraId="35822009" w14:textId="77777777" w:rsidR="004D7BD4" w:rsidRDefault="004D7BD4" w:rsidP="0009391B">
            <w:pPr>
              <w:numPr>
                <w:ilvl w:val="0"/>
                <w:numId w:val="2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Especialización en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Contrataciones y Adquisiciones del Estado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.</w:t>
            </w:r>
          </w:p>
          <w:p w14:paraId="5C13C9F7" w14:textId="77777777" w:rsidR="004D7BD4" w:rsidRPr="00467C57" w:rsidRDefault="004D7BD4" w:rsidP="0009391B">
            <w:pPr>
              <w:numPr>
                <w:ilvl w:val="0"/>
                <w:numId w:val="2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Especialización en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Gestión Pública</w:t>
            </w:r>
          </w:p>
          <w:p w14:paraId="7E37FA9E" w14:textId="77777777" w:rsidR="004D7BD4" w:rsidRDefault="004D7BD4" w:rsidP="0009391B">
            <w:pPr>
              <w:numPr>
                <w:ilvl w:val="0"/>
                <w:numId w:val="2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Certificación del OSCE vigente</w:t>
            </w:r>
          </w:p>
          <w:p w14:paraId="7905440A" w14:textId="1E64BECB" w:rsidR="004D7BD4" w:rsidRPr="0009391B" w:rsidRDefault="00B55ACC" w:rsidP="00B55ACC">
            <w:pPr>
              <w:pStyle w:val="Prrafodelista"/>
              <w:numPr>
                <w:ilvl w:val="0"/>
                <w:numId w:val="26"/>
              </w:numPr>
              <w:tabs>
                <w:tab w:val="num" w:pos="314"/>
              </w:tabs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4D7BD4" w:rsidRPr="0009391B">
              <w:rPr>
                <w:rFonts w:ascii="Calibri" w:hAnsi="Calibri" w:cs="Arial"/>
                <w:color w:val="000000"/>
                <w:szCs w:val="20"/>
              </w:rPr>
              <w:t>Curso en SIGA Y SIAF.</w:t>
            </w:r>
          </w:p>
        </w:tc>
      </w:tr>
      <w:tr w:rsidR="004D7BD4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D71E03" w14:textId="77777777" w:rsidR="004D7BD4" w:rsidRPr="00382391" w:rsidRDefault="004D7BD4" w:rsidP="0009391B">
            <w:pPr>
              <w:tabs>
                <w:tab w:val="num" w:pos="455"/>
              </w:tabs>
              <w:contextualSpacing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5E85452F" w14:textId="77777777" w:rsidR="0037384C" w:rsidRPr="00467C57" w:rsidRDefault="0037384C" w:rsidP="0009391B">
            <w:pPr>
              <w:numPr>
                <w:ilvl w:val="0"/>
                <w:numId w:val="24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Experiencia en Gestión Logística Integral Aplicada en las entidades del Sector Público Nacional.</w:t>
            </w:r>
          </w:p>
          <w:p w14:paraId="39BC0101" w14:textId="77777777" w:rsidR="0037384C" w:rsidRPr="00467C57" w:rsidRDefault="0037384C" w:rsidP="0009391B">
            <w:pPr>
              <w:numPr>
                <w:ilvl w:val="0"/>
                <w:numId w:val="24"/>
              </w:numPr>
              <w:tabs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Ley de Contrataciones con el Estado</w:t>
            </w:r>
          </w:p>
          <w:p w14:paraId="0D84CF35" w14:textId="7C7F5089" w:rsidR="004D7BD4" w:rsidRPr="00B55ACC" w:rsidRDefault="0037384C" w:rsidP="00B55ACC">
            <w:pPr>
              <w:pStyle w:val="Prrafodelista"/>
              <w:numPr>
                <w:ilvl w:val="0"/>
                <w:numId w:val="24"/>
              </w:numPr>
              <w:tabs>
                <w:tab w:val="num" w:pos="455"/>
              </w:tabs>
              <w:ind w:left="314"/>
              <w:rPr>
                <w:rFonts w:ascii="Calibri" w:hAnsi="Calibri" w:cs="Calibri"/>
                <w:color w:val="000000"/>
              </w:rPr>
            </w:pPr>
            <w:r w:rsidRPr="00B55ACC">
              <w:rPr>
                <w:rFonts w:ascii="Calibri" w:hAnsi="Calibri" w:cs="Arial"/>
                <w:color w:val="000000"/>
                <w:szCs w:val="20"/>
              </w:rPr>
              <w:t>Experiencia en manejo de personal y relaciones interpersonales.</w:t>
            </w: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D34027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F502969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1517D3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E3E2357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0DE9174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57EE89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0AE5780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B5FB77E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20F4F7D" w14:textId="77777777" w:rsidR="004D7BD4" w:rsidRPr="00B5313E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4D7BD4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4D7BD4" w:rsidRPr="00E21185" w:rsidRDefault="004D7BD4" w:rsidP="004D7BD4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6BB9C3CE" w:rsidR="004D7BD4" w:rsidRPr="00E21185" w:rsidRDefault="004D7BD4" w:rsidP="004D7BD4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Administración y Finanzas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Área de Logística </w:t>
            </w:r>
          </w:p>
        </w:tc>
      </w:tr>
      <w:tr w:rsidR="004D7BD4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4D7BD4" w:rsidRPr="00E21185" w:rsidRDefault="004D7BD4" w:rsidP="004D7BD4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7116C19A" w:rsidR="004D7BD4" w:rsidRPr="00E21185" w:rsidRDefault="004D7BD4" w:rsidP="004D7BD4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5F86">
              <w:rPr>
                <w:rFonts w:ascii="Calibri" w:eastAsia="Times New Roman" w:hAnsi="Calibri" w:cs="Calibri"/>
                <w:color w:val="000000"/>
              </w:rPr>
              <w:t xml:space="preserve">Inicio: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Julio de 2019</w:t>
            </w:r>
            <w:r w:rsidRPr="00765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D7BD4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4D7BD4" w:rsidRPr="00E21185" w:rsidRDefault="004D7BD4" w:rsidP="004D7BD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66FC41EF" w:rsidR="004D7BD4" w:rsidRPr="00E21185" w:rsidRDefault="004D7BD4" w:rsidP="004D7BD4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  <w:r w:rsidRPr="00765F86">
              <w:rPr>
                <w:rFonts w:ascii="Calibri" w:eastAsia="Times New Roman" w:hAnsi="Calibri" w:cs="Calibri"/>
                <w:color w:val="000000"/>
              </w:rPr>
              <w:t>Término</w:t>
            </w:r>
            <w:r>
              <w:rPr>
                <w:rFonts w:ascii="Calibri" w:eastAsia="Times New Roman" w:hAnsi="Calibri" w:cs="Calibri"/>
                <w:color w:val="000000"/>
              </w:rPr>
              <w:t>:    Setiembre de 2019</w:t>
            </w:r>
          </w:p>
        </w:tc>
      </w:tr>
      <w:tr w:rsidR="004D7BD4" w:rsidRPr="00E21185" w14:paraId="643B0C04" w14:textId="77777777" w:rsidTr="00962B22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4D7BD4" w:rsidRPr="00E21185" w:rsidRDefault="004D7BD4" w:rsidP="004D7BD4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32D9AFD3" w14:textId="6D64B955" w:rsidR="004D7BD4" w:rsidRPr="00E21185" w:rsidRDefault="004D7BD4" w:rsidP="004D7BD4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S/. 8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00.00 (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ocho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mil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 00/100  Soles). Incluyen todos los montos y afiliaciones de ley, así como toda deducción aplicable al trabajador.</w:t>
            </w:r>
          </w:p>
        </w:tc>
      </w:tr>
      <w:tr w:rsidR="004D7BD4" w:rsidRPr="00E21185" w14:paraId="643F167B" w14:textId="77777777" w:rsidTr="00624F7D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4D7BD4" w:rsidRPr="00E21185" w:rsidRDefault="004D7BD4" w:rsidP="004D7BD4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C9B7E0A" w14:textId="0AAC5DA0" w:rsidR="004D7BD4" w:rsidRPr="00E21185" w:rsidRDefault="004D7BD4" w:rsidP="004D7BD4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  <w:t> N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4C3" w:rsidRPr="009534C3">
          <w:rPr>
            <w:noProof/>
            <w:lang w:val="es-ES"/>
          </w:rPr>
          <w:t>13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4C49"/>
    <w:multiLevelType w:val="hybridMultilevel"/>
    <w:tmpl w:val="33EEC140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DE228C"/>
    <w:multiLevelType w:val="hybridMultilevel"/>
    <w:tmpl w:val="42620CBC"/>
    <w:lvl w:ilvl="0" w:tplc="00B8D14C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6E61F6C"/>
    <w:multiLevelType w:val="hybridMultilevel"/>
    <w:tmpl w:val="2CAAD008"/>
    <w:lvl w:ilvl="0" w:tplc="375424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B95"/>
    <w:multiLevelType w:val="hybridMultilevel"/>
    <w:tmpl w:val="C45EEAE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B92193A">
      <w:start w:val="1"/>
      <w:numFmt w:val="lowerLetter"/>
      <w:lvlText w:val="%2."/>
      <w:lvlJc w:val="left"/>
      <w:pPr>
        <w:ind w:left="1075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6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1">
    <w:nsid w:val="71E372B1"/>
    <w:multiLevelType w:val="hybridMultilevel"/>
    <w:tmpl w:val="332EC16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D6454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6726F"/>
    <w:multiLevelType w:val="hybridMultilevel"/>
    <w:tmpl w:val="9EFEFD7E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17"/>
  </w:num>
  <w:num w:numId="18">
    <w:abstractNumId w:val="19"/>
  </w:num>
  <w:num w:numId="19">
    <w:abstractNumId w:val="6"/>
  </w:num>
  <w:num w:numId="20">
    <w:abstractNumId w:val="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4"/>
  </w:num>
  <w:num w:numId="25">
    <w:abstractNumId w:val="13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391B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3472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6A2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506D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384C"/>
    <w:rsid w:val="003753B1"/>
    <w:rsid w:val="00377538"/>
    <w:rsid w:val="00381DE9"/>
    <w:rsid w:val="00395E63"/>
    <w:rsid w:val="00396C58"/>
    <w:rsid w:val="003A7BAB"/>
    <w:rsid w:val="003A7BB7"/>
    <w:rsid w:val="003B4182"/>
    <w:rsid w:val="003B5DB1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5B48"/>
    <w:rsid w:val="004D652A"/>
    <w:rsid w:val="004D7BD4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3D8F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4FEC"/>
    <w:rsid w:val="0063648A"/>
    <w:rsid w:val="00641B71"/>
    <w:rsid w:val="00642E81"/>
    <w:rsid w:val="00647306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0110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85385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0C76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147B7"/>
    <w:rsid w:val="00921F14"/>
    <w:rsid w:val="00924AC0"/>
    <w:rsid w:val="00926993"/>
    <w:rsid w:val="00927785"/>
    <w:rsid w:val="009375BA"/>
    <w:rsid w:val="00943EE4"/>
    <w:rsid w:val="009534C3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E4E"/>
    <w:rsid w:val="009D7FC4"/>
    <w:rsid w:val="009E020D"/>
    <w:rsid w:val="009E584C"/>
    <w:rsid w:val="009E59ED"/>
    <w:rsid w:val="009F2895"/>
    <w:rsid w:val="009F7380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4800"/>
    <w:rsid w:val="00B556C5"/>
    <w:rsid w:val="00B55ACC"/>
    <w:rsid w:val="00B671BC"/>
    <w:rsid w:val="00B74874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2162"/>
    <w:rsid w:val="00C64435"/>
    <w:rsid w:val="00C66250"/>
    <w:rsid w:val="00C71E52"/>
    <w:rsid w:val="00C7439E"/>
    <w:rsid w:val="00C747B0"/>
    <w:rsid w:val="00C902F1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26177"/>
    <w:rsid w:val="00D516E7"/>
    <w:rsid w:val="00D56A3B"/>
    <w:rsid w:val="00D572EE"/>
    <w:rsid w:val="00D825E7"/>
    <w:rsid w:val="00D90AC1"/>
    <w:rsid w:val="00D92E3E"/>
    <w:rsid w:val="00D96F86"/>
    <w:rsid w:val="00DA09E7"/>
    <w:rsid w:val="00DB0534"/>
    <w:rsid w:val="00DB117C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2671B"/>
    <w:rsid w:val="00F30D33"/>
    <w:rsid w:val="00F31114"/>
    <w:rsid w:val="00F445C1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BB2DE-EB0A-4AA0-B7B0-D958C6D4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13</Pages>
  <Words>3608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23409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428</cp:revision>
  <cp:lastPrinted>2019-05-15T20:34:00Z</cp:lastPrinted>
  <dcterms:created xsi:type="dcterms:W3CDTF">2019-01-24T19:07:00Z</dcterms:created>
  <dcterms:modified xsi:type="dcterms:W3CDTF">2019-05-15T20:42:00Z</dcterms:modified>
</cp:coreProperties>
</file>