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78619B21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9D654A">
        <w:rPr>
          <w:rFonts w:ascii="Arial" w:eastAsia="Times New Roman" w:hAnsi="Arial" w:cs="Arial"/>
          <w:b/>
          <w:bCs/>
          <w:color w:val="000000"/>
          <w:lang w:val="es-PE" w:eastAsia="es-PE"/>
        </w:rPr>
        <w:t>N°15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959EFFB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9D654A" w:rsidRPr="009D654A">
        <w:rPr>
          <w:rFonts w:ascii="Arial" w:hAnsi="Arial" w:cs="Arial"/>
          <w:b/>
          <w:bCs/>
          <w:color w:val="000000"/>
        </w:rPr>
        <w:t>JEFE DE LA OFICINA DE ESTUDIOS Y PROYECTOS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52F00E0C" w:rsidR="001838F0" w:rsidRPr="008967D4" w:rsidRDefault="00AB2F44" w:rsidP="009D65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</w:t>
            </w:r>
            <w:r w:rsidR="009D654A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75F04F1" w:rsidR="001838F0" w:rsidRPr="008967D4" w:rsidRDefault="0006089A" w:rsidP="00D261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DIRECCIÓN DE INFRAESTRUCTURA DE RIEGO</w:t>
            </w:r>
            <w:r w:rsidR="00E26C2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6618C380" w:rsidR="001838F0" w:rsidRPr="009D654A" w:rsidRDefault="009D654A" w:rsidP="0006089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 w:rsidRPr="009D654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JEFE DE LA OFICINA DE ESTUDIOS Y PROYECTOS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24436735" w:rsidR="001838F0" w:rsidRPr="008967D4" w:rsidRDefault="00E26C28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299E9F8D" w:rsidR="001838F0" w:rsidRPr="008967D4" w:rsidRDefault="00E26C28" w:rsidP="00E26C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2C52EB5C" w14:textId="77777777" w:rsidR="00D26177" w:rsidRDefault="00D26177" w:rsidP="009811B2">
      <w:pPr>
        <w:jc w:val="center"/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</w:pPr>
    </w:p>
    <w:p w14:paraId="67074B83" w14:textId="17353818" w:rsidR="009811B2" w:rsidRPr="00094A28" w:rsidRDefault="0076016D" w:rsidP="009811B2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 w:rsidR="009811B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N° </w:t>
      </w:r>
      <w:r w:rsidR="009D654A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15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9211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PE" w:eastAsia="es-PE"/>
        </w:rPr>
        <w:t xml:space="preserve">JEFE DE LA OFICINA DE ESTUDIOS Y PROYECTOS </w:t>
      </w:r>
      <w:r w:rsidR="009811B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p w14:paraId="150A6724" w14:textId="386DCABB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103B4CD4" w:rsidR="001E577A" w:rsidRPr="00FC1B46" w:rsidRDefault="0006089A" w:rsidP="00D26177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DIRECCIÓN DE INFRAESTRUCTURA DE RIEGO </w:t>
            </w:r>
            <w:r w:rsidR="001F004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261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4826C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6E64" w14:textId="77777777" w:rsidR="009C694B" w:rsidRDefault="009C694B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2E46D640" w:rsidR="001E577A" w:rsidRPr="0071330C" w:rsidRDefault="001E577A" w:rsidP="00AB2F44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9D654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15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74741CE" w:rsidR="001E577A" w:rsidRPr="00ED36D0" w:rsidRDefault="0055776C" w:rsidP="0055776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CC6C4F" w:rsidR="001E577A" w:rsidRPr="00ED36D0" w:rsidRDefault="00032CC2" w:rsidP="00032CC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CC20219" w:rsidR="00A95E94" w:rsidRPr="00ED36D0" w:rsidRDefault="00E025AA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28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F369BD" w14:textId="03FC2D64" w:rsidR="00DC7BAA" w:rsidRPr="00064962" w:rsidRDefault="00A95E94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064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51264F" w:rsidRPr="00064962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064962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921135">
                    <w:rPr>
                      <w:rFonts w:ascii="Arial" w:eastAsia="Times New Roman" w:hAnsi="Arial" w:cs="Arial"/>
                      <w:sz w:val="20"/>
                      <w:szCs w:val="20"/>
                    </w:rPr>
                    <w:t>(hasta las 23.59 horas del día 03 de Junio</w:t>
                  </w:r>
                  <w:r w:rsidR="00DC7BAA" w:rsidRPr="00064962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p w14:paraId="12C393B1" w14:textId="132A70A3" w:rsidR="00A95E94" w:rsidRPr="00ED36D0" w:rsidRDefault="00A95E94" w:rsidP="00064962">
                  <w:pPr>
                    <w:spacing w:after="12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38AEB7E0" w:rsidR="00A95E94" w:rsidRPr="00ED36D0" w:rsidRDefault="00257501" w:rsidP="00257501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29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2608D08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38039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51193B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31401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06</w:t>
                  </w:r>
                  <w:r w:rsidR="0025750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6B58FE48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1</w:t>
                  </w:r>
                  <w:r w:rsidR="0038039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5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05E80845" w:rsidR="001E577A" w:rsidRPr="00ED36D0" w:rsidRDefault="00257501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3FBF5589" w:rsidR="00142A93" w:rsidRPr="00ED36D0" w:rsidRDefault="001F004A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9:4</w:t>
                  </w:r>
                  <w:r w:rsid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 presentar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2D6E7C7" w:rsidR="001E577A" w:rsidRPr="00ED36D0" w:rsidRDefault="00967C7F" w:rsidP="00B369F3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Lugar</w:t>
                  </w:r>
                  <w:r w:rsidRPr="00B369F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D1376B7" w:rsidR="001E577A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356FA93D" w:rsidR="00142A93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792ECA72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DB52C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1</w:t>
                  </w:r>
                  <w:r w:rsidR="0038039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1D766D12" w:rsidR="008C0567" w:rsidRPr="00ED36D0" w:rsidRDefault="00585835" w:rsidP="00585835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71567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/06/2019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4FE6FE8F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2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 w:rsidR="0038039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15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006BD5" w:rsidR="00E210D9" w:rsidRDefault="00585835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BFD0AC7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016E8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39C2F39" w14:textId="02880966" w:rsidR="00CF4E17" w:rsidRPr="00ED36D0" w:rsidRDefault="00921135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02</w:t>
                  </w:r>
                  <w:r w:rsidR="003803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="001E56A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  <w:r w:rsidR="00DB52C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  <w:p w14:paraId="3A49BE4C" w14:textId="0ECA8B82" w:rsidR="00CF4E17" w:rsidRPr="00ED36D0" w:rsidRDefault="00967C7F" w:rsidP="00B369F3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1F004A" w:rsidRP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485, Urb. Santa Beatriz, Jesús María</w:t>
                  </w:r>
                  <w:r w:rsidR="001F00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836C29" w:rsidR="00CF4E17" w:rsidRPr="00ED36D0" w:rsidRDefault="00585835" w:rsidP="002D73FC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2D73FC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0637D268" w:rsidR="001E577A" w:rsidRPr="00ED36D0" w:rsidRDefault="00A03472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5F0F0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6D28E142" w:rsidR="001E577A" w:rsidRPr="00ED36D0" w:rsidRDefault="00A03472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32D90B8C" w:rsidR="005772DE" w:rsidRPr="00ED36D0" w:rsidRDefault="00A03472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345DA94" w:rsidR="00A764E5" w:rsidRPr="00ED36D0" w:rsidRDefault="00A03472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01/07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4826C9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68F39F00" w:rsidR="00496196" w:rsidRPr="009D6BB4" w:rsidRDefault="00F92613" w:rsidP="004826C9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EVALUACION DE FICHA CURRIC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>
        <w:rPr>
          <w:rFonts w:ascii="Arial" w:eastAsia="Calibri" w:hAnsi="Arial" w:cs="Arial"/>
          <w:b/>
          <w:color w:val="000000"/>
          <w:sz w:val="20"/>
          <w:szCs w:val="20"/>
        </w:rPr>
        <w:t>L</w:t>
      </w:r>
      <w:r w:rsidR="00496196" w:rsidRPr="009D6BB4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4826C9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4826C9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4826C9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4826C9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4826C9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00454F">
      <w:pPr>
        <w:pStyle w:val="Prrafodelista"/>
        <w:spacing w:after="0"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00454F" w:rsidRDefault="0000454F" w:rsidP="004826C9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4826C9">
      <w:pPr>
        <w:pStyle w:val="Prrafodelista"/>
        <w:numPr>
          <w:ilvl w:val="0"/>
          <w:numId w:val="6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97350C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F7CAA">
      <w:pPr>
        <w:pStyle w:val="Prrafodelista"/>
        <w:suppressAutoHyphens/>
        <w:spacing w:before="80"/>
        <w:ind w:left="56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97350C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4826C9">
      <w:pPr>
        <w:pStyle w:val="Prrafodelista"/>
        <w:numPr>
          <w:ilvl w:val="1"/>
          <w:numId w:val="11"/>
        </w:numPr>
        <w:suppressAutoHyphens/>
        <w:spacing w:before="80"/>
        <w:ind w:left="567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6283D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26283D">
        <w:rPr>
          <w:rFonts w:ascii="Arial" w:eastAsia="Times New Roman" w:hAnsi="Arial" w:cs="Arial"/>
          <w:bCs/>
          <w:sz w:val="20"/>
          <w:szCs w:val="20"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 w:rsidRPr="0026283D">
        <w:rPr>
          <w:rFonts w:ascii="Arial" w:eastAsia="Times New Roman" w:hAnsi="Arial" w:cs="Arial"/>
          <w:sz w:val="20"/>
          <w:szCs w:val="20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4826C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4826C9">
      <w:pPr>
        <w:pStyle w:val="Prrafodelista"/>
        <w:numPr>
          <w:ilvl w:val="0"/>
          <w:numId w:val="9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4826C9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4826C9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3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4826C9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0528354A" w:rsidR="005A30A5" w:rsidRPr="005A30A5" w:rsidRDefault="007D7E41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4826C9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76E0A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77777777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E2D081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09CB2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66E1A5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4FF6B749" w:rsidR="004B0806" w:rsidRPr="004B0806" w:rsidRDefault="004B0806" w:rsidP="004826C9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BA46CC">
        <w:rPr>
          <w:rFonts w:ascii="Calibri" w:eastAsia="Times New Roman" w:hAnsi="Calibri" w:cs="Calibri"/>
          <w:color w:val="000000"/>
          <w:lang w:eastAsia="es-ES"/>
        </w:rPr>
        <w:t xml:space="preserve">Dirección de Infraestructura </w:t>
      </w:r>
      <w:r w:rsidR="00BA46CC" w:rsidRPr="00765F86">
        <w:rPr>
          <w:rFonts w:ascii="Calibri" w:eastAsia="Times New Roman" w:hAnsi="Calibri" w:cs="Calibri"/>
          <w:color w:val="000000"/>
          <w:lang w:eastAsia="es-ES"/>
        </w:rPr>
        <w:t xml:space="preserve">de </w:t>
      </w:r>
      <w:r w:rsidR="00BA46CC">
        <w:rPr>
          <w:rFonts w:ascii="Calibri" w:eastAsia="Times New Roman" w:hAnsi="Calibri" w:cs="Calibri"/>
          <w:color w:val="000000"/>
          <w:lang w:eastAsia="es-ES"/>
        </w:rPr>
        <w:t>Riego.</w:t>
      </w:r>
    </w:p>
    <w:p w14:paraId="6F7FCFEE" w14:textId="7931C07C" w:rsidR="00D96F86" w:rsidRPr="00E412DD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D96F8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Contratar los servicios de UN (1) </w:t>
      </w:r>
      <w:r w:rsidR="00380396" w:rsidRPr="009D654A">
        <w:rPr>
          <w:rFonts w:ascii="Calibri" w:hAnsi="Calibri" w:cs="Arial"/>
          <w:bCs/>
          <w:color w:val="000000"/>
        </w:rPr>
        <w:t>JEFE DE LA OFICINA DE ESTUDIOS Y PROYECTOS</w:t>
      </w:r>
    </w:p>
    <w:p w14:paraId="6AA76205" w14:textId="77777777" w:rsidR="00E412DD" w:rsidRPr="00D96F8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</w:rPr>
      </w:pPr>
    </w:p>
    <w:p w14:paraId="6CBD710D" w14:textId="1558D2E0" w:rsidR="004B0806" w:rsidRPr="00D96F86" w:rsidRDefault="004B0806" w:rsidP="00D12B33">
      <w:pPr>
        <w:pStyle w:val="Prrafodelista"/>
        <w:numPr>
          <w:ilvl w:val="0"/>
          <w:numId w:val="15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D96F86"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826C9">
      <w:pPr>
        <w:numPr>
          <w:ilvl w:val="0"/>
          <w:numId w:val="16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Default="009F2895" w:rsidP="004826C9">
      <w:pPr>
        <w:pStyle w:val="Prrafodelista"/>
        <w:numPr>
          <w:ilvl w:val="0"/>
          <w:numId w:val="15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43B37874" w14:textId="77777777" w:rsidR="004826C9" w:rsidRPr="009F2895" w:rsidRDefault="004826C9" w:rsidP="004826C9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01F07DA3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Revisar y/o evaluar los expedientes técnicos, estudios de pre-inversión que se le encargue  y emitir los informes respectivos.</w:t>
      </w:r>
    </w:p>
    <w:p w14:paraId="02108294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Evaluar y /o dar conformidad de los informes de diagnóstico y compatibilidad y los informes mensuales de los supervisores de obra y emitir opinión según corresponda.</w:t>
      </w:r>
    </w:p>
    <w:p w14:paraId="4E6E0943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Evaluar y/o dar conformidad a los expedientes, presupuestos de adicionales y deductivos de obra que se le encargue y que tengan relación con el expediente técnico y los diseños, emitiendo el pronunciamiento respectivo.</w:t>
      </w:r>
    </w:p>
    <w:p w14:paraId="6E66213B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Evaluar los Manuales de Operación y Mantenimiento de las Obras ejecutadas así como las propuestas de actualización y/o modificación y emitir los informes respectivos, para su aprobación y/o reformulación.</w:t>
      </w:r>
    </w:p>
    <w:p w14:paraId="5F15BB15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Integrar los Comités Especiales de selección para la contratación de servicios de consultorías y ejecución de obras.</w:t>
      </w:r>
    </w:p>
    <w:p w14:paraId="5FB70F23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Emitir opinión técnica y/o dar conformidad a las opiniones en los casos de modificaciones de diseño propuestas durante la ejecución de obras.</w:t>
      </w:r>
    </w:p>
    <w:p w14:paraId="0CCC8AE2" w14:textId="72410776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Dar conformidad a los Estudios de pre inversión y expedientes técnicos ante la Dirección de Infraestructura de Riego.</w:t>
      </w:r>
    </w:p>
    <w:p w14:paraId="1DF8B96D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Elaborar los términos de referencia para la contratación de consultores.</w:t>
      </w:r>
    </w:p>
    <w:p w14:paraId="69EE3C59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Realizar acciones de seguimiento y supervisión en la ejecución de los estudios y expedientes técnicos.</w:t>
      </w:r>
    </w:p>
    <w:p w14:paraId="738E138C" w14:textId="77777777" w:rsidR="00E246F3" w:rsidRPr="00527B08" w:rsidRDefault="00E246F3" w:rsidP="00E246F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</w:rPr>
      </w:pPr>
      <w:r w:rsidRPr="00527B08">
        <w:rPr>
          <w:rFonts w:ascii="Calibri" w:hAnsi="Calibri" w:cs="Calibri"/>
        </w:rPr>
        <w:t>Otras que le encargue el Director de Infraestructura de Riego.</w:t>
      </w:r>
    </w:p>
    <w:p w14:paraId="6B61A13B" w14:textId="24663964" w:rsidR="004B0806" w:rsidRPr="004B0806" w:rsidRDefault="00E412DD" w:rsidP="00E412DD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E21185">
        <w:rPr>
          <w:rFonts w:cs="Arial"/>
          <w:color w:val="000000"/>
        </w:rPr>
        <w:tab/>
      </w: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11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4811"/>
      </w:tblGrid>
      <w:tr w:rsidR="00F7315A" w:rsidRPr="00B5313E" w14:paraId="22278DC1" w14:textId="77777777" w:rsidTr="009A31A1">
        <w:trPr>
          <w:trHeight w:val="266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E246F3" w:rsidRPr="00B5313E" w14:paraId="1083DB3F" w14:textId="77777777" w:rsidTr="009A31A1">
        <w:trPr>
          <w:trHeight w:val="72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E246F3" w:rsidRPr="00B5313E" w:rsidRDefault="00E246F3" w:rsidP="00E246F3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070024C" w14:textId="77777777" w:rsidR="00E246F3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laboral general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diez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0) años.</w:t>
            </w:r>
          </w:p>
          <w:p w14:paraId="0414E7DE" w14:textId="77777777" w:rsidR="00E246F3" w:rsidRPr="00467C57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Tres (03) años experiencia en cargos Directivos similares. </w:t>
            </w:r>
          </w:p>
          <w:p w14:paraId="310FE35A" w14:textId="77777777" w:rsidR="00E246F3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Tres (03) años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Experiencia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en estudios y diseño de obras  de infraestructura de riego.</w:t>
            </w:r>
          </w:p>
          <w:p w14:paraId="39411308" w14:textId="356D425F" w:rsidR="00E246F3" w:rsidRPr="009D7BCA" w:rsidRDefault="00E246F3" w:rsidP="00E246F3">
            <w:pPr>
              <w:ind w:left="455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46F3" w:rsidRPr="00B5313E" w14:paraId="0BC0FD49" w14:textId="77777777" w:rsidTr="009A31A1">
        <w:trPr>
          <w:trHeight w:val="571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E246F3" w:rsidRPr="00B5313E" w:rsidRDefault="00E246F3" w:rsidP="00E246F3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991B3E9" w14:textId="77777777" w:rsidR="00E246F3" w:rsidRPr="00467C57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Orientación hacia resultados.</w:t>
            </w:r>
          </w:p>
          <w:p w14:paraId="75AFBEAB" w14:textId="77777777" w:rsidR="00E246F3" w:rsidRPr="00467C57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Proactividad</w:t>
            </w:r>
          </w:p>
          <w:p w14:paraId="72329BD5" w14:textId="77777777" w:rsidR="00E246F3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rabajo en equipo</w:t>
            </w:r>
          </w:p>
          <w:p w14:paraId="3EBA4A4B" w14:textId="1A912202" w:rsidR="00E246F3" w:rsidRPr="00FA2594" w:rsidRDefault="00E246F3" w:rsidP="00FA2594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A2594">
              <w:rPr>
                <w:rFonts w:ascii="Calibri" w:hAnsi="Calibri" w:cs="Arial"/>
                <w:color w:val="000000"/>
                <w:sz w:val="22"/>
                <w:szCs w:val="22"/>
              </w:rPr>
              <w:t>Planificación y organización</w:t>
            </w:r>
          </w:p>
        </w:tc>
      </w:tr>
      <w:tr w:rsidR="00E246F3" w:rsidRPr="00B5313E" w14:paraId="0E06A053" w14:textId="77777777" w:rsidTr="0014266F">
        <w:trPr>
          <w:trHeight w:val="547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E246F3" w:rsidRPr="00B5313E" w:rsidRDefault="00E246F3" w:rsidP="00E246F3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CD2624B" w14:textId="77777777" w:rsidR="00E246F3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Título Profesional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en Ingeni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ería Civil, Agrícola, Agrónomo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 carreras afines. </w:t>
            </w:r>
          </w:p>
          <w:p w14:paraId="615ED462" w14:textId="3E11C099" w:rsidR="00E246F3" w:rsidRPr="009D7BCA" w:rsidRDefault="00E246F3" w:rsidP="00E246F3">
            <w:pPr>
              <w:numPr>
                <w:ilvl w:val="0"/>
                <w:numId w:val="2"/>
              </w:numPr>
              <w:ind w:left="4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Colegiado y habilitado.</w:t>
            </w:r>
          </w:p>
        </w:tc>
      </w:tr>
      <w:tr w:rsidR="00E246F3" w:rsidRPr="00B5313E" w14:paraId="5A1039E7" w14:textId="77777777" w:rsidTr="009A31A1">
        <w:trPr>
          <w:trHeight w:val="253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E246F3" w:rsidRPr="00B5313E" w:rsidRDefault="00E246F3" w:rsidP="00E246F3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CF7483" w14:textId="77777777" w:rsidR="00E246F3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Estudios y diseños de obras de Infraestructura de riego </w:t>
            </w:r>
          </w:p>
          <w:p w14:paraId="06B5BB02" w14:textId="77777777" w:rsidR="00E246F3" w:rsidRPr="008C587A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Especialización en Proyectos de Inversión Pública.</w:t>
            </w:r>
          </w:p>
          <w:p w14:paraId="04D3E10B" w14:textId="77777777" w:rsidR="00E246F3" w:rsidRPr="00467C57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Estudios de maestría.</w:t>
            </w:r>
          </w:p>
          <w:p w14:paraId="7905440A" w14:textId="4A166FE5" w:rsidR="00E246F3" w:rsidRPr="008D0A2F" w:rsidRDefault="00E246F3" w:rsidP="00FA2594">
            <w:pPr>
              <w:spacing w:line="276" w:lineRule="auto"/>
              <w:ind w:left="355"/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246F3" w:rsidRPr="00B5313E" w14:paraId="3B0DDF4C" w14:textId="77777777" w:rsidTr="009A31A1">
        <w:trPr>
          <w:trHeight w:val="276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E246F3" w:rsidRPr="00B5313E" w:rsidRDefault="00E246F3" w:rsidP="00E246F3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6D2801" w14:textId="77777777" w:rsidR="00E246F3" w:rsidRPr="00467C57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Calibri"/>
                <w:color w:val="000000"/>
                <w:sz w:val="22"/>
                <w:szCs w:val="22"/>
              </w:rPr>
              <w:t>Conocimientos de Computación.</w:t>
            </w:r>
          </w:p>
          <w:p w14:paraId="29A4935E" w14:textId="77777777" w:rsidR="00E246F3" w:rsidRPr="00467C57" w:rsidRDefault="00E246F3" w:rsidP="00E246F3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Calibri"/>
                <w:color w:val="000000"/>
                <w:sz w:val="22"/>
                <w:szCs w:val="22"/>
              </w:rPr>
              <w:t>Conocimientos de Gestión Pública.</w:t>
            </w:r>
          </w:p>
          <w:p w14:paraId="0D84CF35" w14:textId="226B2223" w:rsidR="00E246F3" w:rsidRPr="009A31A1" w:rsidRDefault="00E246F3" w:rsidP="00E246F3">
            <w:pPr>
              <w:ind w:left="455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315A" w:rsidRPr="00B5313E" w14:paraId="2E392EBC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9A31A1">
        <w:trPr>
          <w:trHeight w:val="276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9A31A1">
        <w:trPr>
          <w:trHeight w:val="32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78D19712" w14:textId="77777777" w:rsidR="00A94C34" w:rsidRDefault="00A94C34" w:rsidP="00F7315A">
      <w:pPr>
        <w:ind w:right="310"/>
        <w:jc w:val="both"/>
        <w:rPr>
          <w:rFonts w:ascii="Arial" w:eastAsia="Times New Roman" w:hAnsi="Arial" w:cs="Arial"/>
        </w:rPr>
      </w:pPr>
    </w:p>
    <w:p w14:paraId="1B9D977C" w14:textId="77777777" w:rsidR="00A94C34" w:rsidRPr="00B5313E" w:rsidRDefault="00A94C34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22E6BC66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08D66AED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24D0BFB8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57C377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CF2B353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05D6642D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0CCDD0EB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4ED46E2F" w14:textId="77777777" w:rsidR="00AD49F6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3DC633F8" w14:textId="77777777" w:rsidR="00E246F3" w:rsidRDefault="00E246F3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C479FF" w14:textId="77777777" w:rsidR="00E246F3" w:rsidRDefault="00E246F3" w:rsidP="00F7315A">
      <w:pPr>
        <w:ind w:left="720"/>
        <w:jc w:val="both"/>
        <w:rPr>
          <w:rFonts w:ascii="Arial" w:hAnsi="Arial" w:cs="Arial"/>
          <w:color w:val="FF0000"/>
        </w:rPr>
      </w:pPr>
    </w:p>
    <w:p w14:paraId="4693DE5C" w14:textId="77777777" w:rsidR="00AD49F6" w:rsidRPr="00B5313E" w:rsidRDefault="00AD49F6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447B82F" w14:textId="77777777" w:rsidR="00F7315A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8A63B2" w:rsidRPr="00E21185" w14:paraId="7557FDDA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  <w:hideMark/>
          </w:tcPr>
          <w:p w14:paraId="001C4884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14:paraId="581694D1" w14:textId="77777777" w:rsidR="008A63B2" w:rsidRPr="00E21185" w:rsidRDefault="008A63B2" w:rsidP="00A17576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E246F3" w:rsidRPr="00E21185" w14:paraId="43A21B4C" w14:textId="77777777" w:rsidTr="00A175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B279F3" w14:textId="77777777" w:rsidR="00E246F3" w:rsidRPr="00E21185" w:rsidRDefault="00E246F3" w:rsidP="00E246F3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D2C88" w14:textId="654CFA75" w:rsidR="00E246F3" w:rsidRPr="00E21185" w:rsidRDefault="00E246F3" w:rsidP="00E246F3">
            <w:pPr>
              <w:spacing w:line="276" w:lineRule="auto"/>
              <w:ind w:left="35" w:right="49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Dirección de Infraestructura de Riego </w:t>
            </w:r>
          </w:p>
        </w:tc>
      </w:tr>
      <w:tr w:rsidR="00E246F3" w:rsidRPr="00E21185" w14:paraId="123DAC34" w14:textId="77777777" w:rsidTr="00A17576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FE0DCC" w14:textId="77777777" w:rsidR="00E246F3" w:rsidRPr="00E21185" w:rsidRDefault="00E246F3" w:rsidP="00E246F3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14:paraId="5F359D29" w14:textId="77777777" w:rsidR="00E246F3" w:rsidRDefault="00E246F3" w:rsidP="00E246F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6DB15BF" w14:textId="6C891DDA" w:rsidR="00E246F3" w:rsidRDefault="00E246F3" w:rsidP="00E246F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Inicio:       Julio  de 2019</w:t>
            </w:r>
          </w:p>
          <w:p w14:paraId="7964271E" w14:textId="52F8AEE9" w:rsidR="00E246F3" w:rsidRPr="00E21185" w:rsidRDefault="00E246F3" w:rsidP="00E246F3">
            <w:pPr>
              <w:spacing w:line="276" w:lineRule="auto"/>
              <w:ind w:left="3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Termino:  Setiembre  de  2019 </w:t>
            </w:r>
          </w:p>
        </w:tc>
      </w:tr>
      <w:tr w:rsidR="00E246F3" w:rsidRPr="00E21185" w14:paraId="14530DAE" w14:textId="77777777" w:rsidTr="00A175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03F592" w14:textId="77777777" w:rsidR="00E246F3" w:rsidRPr="00E21185" w:rsidRDefault="00E246F3" w:rsidP="00E246F3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9F0C219" w14:textId="0B36C50A" w:rsidR="00E246F3" w:rsidRPr="00E21185" w:rsidRDefault="00E246F3" w:rsidP="00E246F3">
            <w:pPr>
              <w:spacing w:line="276" w:lineRule="auto"/>
              <w:ind w:left="3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6F3" w:rsidRPr="00E21185" w14:paraId="643B0C04" w14:textId="77777777" w:rsidTr="00A175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51408275" w14:textId="77777777" w:rsidR="00E246F3" w:rsidRPr="00E21185" w:rsidRDefault="00E246F3" w:rsidP="00E246F3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D9AFD3" w14:textId="463F952F" w:rsidR="00E246F3" w:rsidRPr="00E21185" w:rsidRDefault="00E246F3" w:rsidP="00E246F3">
            <w:pPr>
              <w:spacing w:line="276" w:lineRule="auto"/>
              <w:ind w:left="35" w:right="191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S/.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13,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000.00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Trece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mil y 00/100  Soles). Incluyen todos los montos y afiliaciones de ley, así como toda deducción aplicable al trabajador.</w:t>
            </w:r>
          </w:p>
        </w:tc>
      </w:tr>
      <w:tr w:rsidR="00E246F3" w:rsidRPr="00E21185" w14:paraId="643F167B" w14:textId="77777777" w:rsidTr="00311C23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48D18A" w14:textId="77777777" w:rsidR="00E246F3" w:rsidRPr="00E21185" w:rsidRDefault="00E246F3" w:rsidP="00E246F3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2118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14:paraId="2C9B7E0A" w14:textId="2A53E67D" w:rsidR="00E246F3" w:rsidRPr="00E21185" w:rsidRDefault="00E246F3" w:rsidP="00E246F3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  <w:t> 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Ninguna</w:t>
            </w:r>
          </w:p>
        </w:tc>
      </w:tr>
    </w:tbl>
    <w:p w14:paraId="1FDA8A3D" w14:textId="77777777" w:rsidR="009A31A1" w:rsidRPr="00B5313E" w:rsidRDefault="009A31A1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E719008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</w:rPr>
      </w:pPr>
    </w:p>
    <w:p w14:paraId="75AF5C25" w14:textId="77777777" w:rsidR="00F7315A" w:rsidRPr="00B5313E" w:rsidRDefault="00F7315A" w:rsidP="00F7315A">
      <w:pPr>
        <w:rPr>
          <w:rFonts w:ascii="Arial" w:eastAsia="Times New Roman" w:hAnsi="Arial" w:cs="Arial"/>
        </w:rPr>
      </w:pPr>
    </w:p>
    <w:p w14:paraId="79937930" w14:textId="77777777" w:rsidR="00EA700C" w:rsidRDefault="00EA700C" w:rsidP="00EA700C">
      <w:pPr>
        <w:rPr>
          <w:rFonts w:ascii="Times" w:eastAsia="Times New Roman" w:hAnsi="Times"/>
          <w:sz w:val="20"/>
          <w:szCs w:val="20"/>
          <w:lang w:val="es-PE"/>
        </w:rPr>
      </w:pPr>
    </w:p>
    <w:p w14:paraId="7472EEE4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943EE4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B7CA" w14:textId="77777777" w:rsidR="00272CB0" w:rsidRDefault="00272CB0" w:rsidP="00FD6F46">
      <w:r>
        <w:separator/>
      </w:r>
    </w:p>
  </w:endnote>
  <w:endnote w:type="continuationSeparator" w:id="0">
    <w:p w14:paraId="40974935" w14:textId="77777777" w:rsidR="00272CB0" w:rsidRDefault="00272CB0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3D" w:rsidRPr="0026283D">
          <w:rPr>
            <w:noProof/>
            <w:lang w:val="es-ES"/>
          </w:rPr>
          <w:t>13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DC67" w14:textId="77777777" w:rsidR="00272CB0" w:rsidRDefault="00272CB0" w:rsidP="00FD6F46">
      <w:r>
        <w:separator/>
      </w:r>
    </w:p>
  </w:footnote>
  <w:footnote w:type="continuationSeparator" w:id="0">
    <w:p w14:paraId="01C61CE0" w14:textId="77777777" w:rsidR="00272CB0" w:rsidRDefault="00272CB0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3C9"/>
    <w:multiLevelType w:val="hybridMultilevel"/>
    <w:tmpl w:val="ACCA647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228C"/>
    <w:multiLevelType w:val="hybridMultilevel"/>
    <w:tmpl w:val="49C21820"/>
    <w:lvl w:ilvl="0" w:tplc="D8A4BC0A">
      <w:start w:val="4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934B95"/>
    <w:multiLevelType w:val="hybridMultilevel"/>
    <w:tmpl w:val="8020B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138C"/>
    <w:multiLevelType w:val="hybridMultilevel"/>
    <w:tmpl w:val="0E02CB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1290E"/>
    <w:multiLevelType w:val="hybridMultilevel"/>
    <w:tmpl w:val="BD7CC852"/>
    <w:lvl w:ilvl="0" w:tplc="7786F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D5094"/>
    <w:multiLevelType w:val="hybridMultilevel"/>
    <w:tmpl w:val="71264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7181B95"/>
    <w:multiLevelType w:val="hybridMultilevel"/>
    <w:tmpl w:val="0B0E7480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F4873E">
      <w:start w:val="1"/>
      <w:numFmt w:val="lowerLetter"/>
      <w:lvlText w:val="%2."/>
      <w:lvlJc w:val="left"/>
      <w:pPr>
        <w:ind w:left="1075" w:hanging="360"/>
      </w:pPr>
      <w:rPr>
        <w:b w:val="0"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4C231C24"/>
    <w:multiLevelType w:val="hybridMultilevel"/>
    <w:tmpl w:val="8E9EB01E"/>
    <w:lvl w:ilvl="0" w:tplc="280A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72FAE"/>
    <w:multiLevelType w:val="hybridMultilevel"/>
    <w:tmpl w:val="AD181D9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C45C7"/>
    <w:multiLevelType w:val="hybridMultilevel"/>
    <w:tmpl w:val="27E8777E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910C7A"/>
    <w:multiLevelType w:val="hybridMultilevel"/>
    <w:tmpl w:val="C51A1AF6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22">
    <w:nsid w:val="71E372B1"/>
    <w:multiLevelType w:val="hybridMultilevel"/>
    <w:tmpl w:val="692641D0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6AE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  <w:szCs w:val="20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23"/>
  </w:num>
  <w:num w:numId="5">
    <w:abstractNumId w:val="2"/>
  </w:num>
  <w:num w:numId="6">
    <w:abstractNumId w:val="13"/>
  </w:num>
  <w:num w:numId="7">
    <w:abstractNumId w:val="16"/>
  </w:num>
  <w:num w:numId="8">
    <w:abstractNumId w:val="12"/>
  </w:num>
  <w:num w:numId="9">
    <w:abstractNumId w:val="5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18"/>
  </w:num>
  <w:num w:numId="18">
    <w:abstractNumId w:val="20"/>
  </w:num>
  <w:num w:numId="19">
    <w:abstractNumId w:val="6"/>
  </w:num>
  <w:num w:numId="20">
    <w:abstractNumId w:val="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4"/>
  </w:num>
  <w:num w:numId="25">
    <w:abstractNumId w:val="11"/>
  </w:num>
  <w:num w:numId="2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0454F"/>
    <w:rsid w:val="0001058D"/>
    <w:rsid w:val="0001124B"/>
    <w:rsid w:val="000146A5"/>
    <w:rsid w:val="000157E3"/>
    <w:rsid w:val="000158DB"/>
    <w:rsid w:val="00015A2E"/>
    <w:rsid w:val="00016A1A"/>
    <w:rsid w:val="00016E83"/>
    <w:rsid w:val="00021178"/>
    <w:rsid w:val="0002317C"/>
    <w:rsid w:val="000264A2"/>
    <w:rsid w:val="000305F1"/>
    <w:rsid w:val="000306DF"/>
    <w:rsid w:val="000307FC"/>
    <w:rsid w:val="00030828"/>
    <w:rsid w:val="00032CC2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089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A7641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8F0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6A2"/>
    <w:rsid w:val="001E577A"/>
    <w:rsid w:val="001F004A"/>
    <w:rsid w:val="001F32B7"/>
    <w:rsid w:val="00201D2C"/>
    <w:rsid w:val="00203720"/>
    <w:rsid w:val="00204EC4"/>
    <w:rsid w:val="00206CCD"/>
    <w:rsid w:val="0020732D"/>
    <w:rsid w:val="00220158"/>
    <w:rsid w:val="00221588"/>
    <w:rsid w:val="002259D1"/>
    <w:rsid w:val="0024288A"/>
    <w:rsid w:val="0025506D"/>
    <w:rsid w:val="0025699B"/>
    <w:rsid w:val="00257501"/>
    <w:rsid w:val="0026283D"/>
    <w:rsid w:val="00262A96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D73FC"/>
    <w:rsid w:val="002E5AD4"/>
    <w:rsid w:val="002F2D4E"/>
    <w:rsid w:val="00306C29"/>
    <w:rsid w:val="00310B41"/>
    <w:rsid w:val="00314014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753B1"/>
    <w:rsid w:val="00380396"/>
    <w:rsid w:val="00381DE9"/>
    <w:rsid w:val="00395E63"/>
    <w:rsid w:val="00396C58"/>
    <w:rsid w:val="003A7BAB"/>
    <w:rsid w:val="003A7BB7"/>
    <w:rsid w:val="003B4182"/>
    <w:rsid w:val="003C714E"/>
    <w:rsid w:val="003D30CF"/>
    <w:rsid w:val="003D568E"/>
    <w:rsid w:val="003E3F65"/>
    <w:rsid w:val="003E68B4"/>
    <w:rsid w:val="003F07D0"/>
    <w:rsid w:val="0040715A"/>
    <w:rsid w:val="00410165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0A92"/>
    <w:rsid w:val="00481A06"/>
    <w:rsid w:val="00481D91"/>
    <w:rsid w:val="004826C9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B41C1"/>
    <w:rsid w:val="004C0CD7"/>
    <w:rsid w:val="004C53E1"/>
    <w:rsid w:val="004C6C3E"/>
    <w:rsid w:val="004C6D80"/>
    <w:rsid w:val="004C6FC2"/>
    <w:rsid w:val="004C7233"/>
    <w:rsid w:val="004D1B6A"/>
    <w:rsid w:val="004D5B48"/>
    <w:rsid w:val="004D652A"/>
    <w:rsid w:val="004E6DF0"/>
    <w:rsid w:val="004F1B27"/>
    <w:rsid w:val="004F7808"/>
    <w:rsid w:val="004F7D55"/>
    <w:rsid w:val="00500ECA"/>
    <w:rsid w:val="00505C98"/>
    <w:rsid w:val="00506384"/>
    <w:rsid w:val="005116FA"/>
    <w:rsid w:val="0051264F"/>
    <w:rsid w:val="00515578"/>
    <w:rsid w:val="00527020"/>
    <w:rsid w:val="00530F9A"/>
    <w:rsid w:val="00532D46"/>
    <w:rsid w:val="00533F98"/>
    <w:rsid w:val="00537E8F"/>
    <w:rsid w:val="00542C19"/>
    <w:rsid w:val="0054698A"/>
    <w:rsid w:val="0054799E"/>
    <w:rsid w:val="005520F6"/>
    <w:rsid w:val="00556D91"/>
    <w:rsid w:val="0055776C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85835"/>
    <w:rsid w:val="005925E7"/>
    <w:rsid w:val="00594733"/>
    <w:rsid w:val="00595C25"/>
    <w:rsid w:val="00596FCE"/>
    <w:rsid w:val="005A30A5"/>
    <w:rsid w:val="005A70E7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7077"/>
    <w:rsid w:val="007816D0"/>
    <w:rsid w:val="00782A62"/>
    <w:rsid w:val="007971AE"/>
    <w:rsid w:val="007A49C2"/>
    <w:rsid w:val="007B35A5"/>
    <w:rsid w:val="007B5E35"/>
    <w:rsid w:val="007C6749"/>
    <w:rsid w:val="007C7F59"/>
    <w:rsid w:val="007D00A3"/>
    <w:rsid w:val="007D4648"/>
    <w:rsid w:val="007D7E41"/>
    <w:rsid w:val="007E1B7E"/>
    <w:rsid w:val="007F4977"/>
    <w:rsid w:val="00807B55"/>
    <w:rsid w:val="00826310"/>
    <w:rsid w:val="00832D43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A63B2"/>
    <w:rsid w:val="008B3D48"/>
    <w:rsid w:val="008B548F"/>
    <w:rsid w:val="008C0567"/>
    <w:rsid w:val="008D094A"/>
    <w:rsid w:val="008D0A2F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135"/>
    <w:rsid w:val="00921F14"/>
    <w:rsid w:val="00924AC0"/>
    <w:rsid w:val="00926993"/>
    <w:rsid w:val="00927785"/>
    <w:rsid w:val="009375BA"/>
    <w:rsid w:val="00943EE4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11B2"/>
    <w:rsid w:val="009859BE"/>
    <w:rsid w:val="0099019B"/>
    <w:rsid w:val="00993ABF"/>
    <w:rsid w:val="009962BD"/>
    <w:rsid w:val="009971BF"/>
    <w:rsid w:val="009A31A1"/>
    <w:rsid w:val="009A397C"/>
    <w:rsid w:val="009B5BE5"/>
    <w:rsid w:val="009B672C"/>
    <w:rsid w:val="009C694B"/>
    <w:rsid w:val="009D4549"/>
    <w:rsid w:val="009D654A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3472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90393"/>
    <w:rsid w:val="00A935D7"/>
    <w:rsid w:val="00A94C34"/>
    <w:rsid w:val="00A95E94"/>
    <w:rsid w:val="00A96DEB"/>
    <w:rsid w:val="00AA2772"/>
    <w:rsid w:val="00AA6980"/>
    <w:rsid w:val="00AA7013"/>
    <w:rsid w:val="00AB2743"/>
    <w:rsid w:val="00AB2F44"/>
    <w:rsid w:val="00AB3F20"/>
    <w:rsid w:val="00AC345F"/>
    <w:rsid w:val="00AC41E7"/>
    <w:rsid w:val="00AC7717"/>
    <w:rsid w:val="00AD49F6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369F3"/>
    <w:rsid w:val="00B44605"/>
    <w:rsid w:val="00B54123"/>
    <w:rsid w:val="00B556C5"/>
    <w:rsid w:val="00B671BC"/>
    <w:rsid w:val="00B80264"/>
    <w:rsid w:val="00B85D11"/>
    <w:rsid w:val="00B8645E"/>
    <w:rsid w:val="00B86EDD"/>
    <w:rsid w:val="00B94AB0"/>
    <w:rsid w:val="00B97237"/>
    <w:rsid w:val="00BA3EBC"/>
    <w:rsid w:val="00BA46C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F679E"/>
    <w:rsid w:val="00C008B0"/>
    <w:rsid w:val="00C07037"/>
    <w:rsid w:val="00C14673"/>
    <w:rsid w:val="00C17DF5"/>
    <w:rsid w:val="00C17FA5"/>
    <w:rsid w:val="00C22337"/>
    <w:rsid w:val="00C444BB"/>
    <w:rsid w:val="00C45843"/>
    <w:rsid w:val="00C5007B"/>
    <w:rsid w:val="00C5234B"/>
    <w:rsid w:val="00C54369"/>
    <w:rsid w:val="00C55B08"/>
    <w:rsid w:val="00C60562"/>
    <w:rsid w:val="00C621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5C9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1C0B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26177"/>
    <w:rsid w:val="00D516E7"/>
    <w:rsid w:val="00D56A3B"/>
    <w:rsid w:val="00D572EE"/>
    <w:rsid w:val="00D825E7"/>
    <w:rsid w:val="00D90AC1"/>
    <w:rsid w:val="00D92E3E"/>
    <w:rsid w:val="00D96F86"/>
    <w:rsid w:val="00DA09E7"/>
    <w:rsid w:val="00DB0534"/>
    <w:rsid w:val="00DB1A63"/>
    <w:rsid w:val="00DB3E7D"/>
    <w:rsid w:val="00DB52CA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25A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246F3"/>
    <w:rsid w:val="00E26C28"/>
    <w:rsid w:val="00E30B79"/>
    <w:rsid w:val="00E30E28"/>
    <w:rsid w:val="00E30F87"/>
    <w:rsid w:val="00E37A22"/>
    <w:rsid w:val="00E412DD"/>
    <w:rsid w:val="00E46C7B"/>
    <w:rsid w:val="00E5188E"/>
    <w:rsid w:val="00E54495"/>
    <w:rsid w:val="00E645CA"/>
    <w:rsid w:val="00E672D6"/>
    <w:rsid w:val="00E70A59"/>
    <w:rsid w:val="00E756C7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C787D"/>
    <w:rsid w:val="00ED36D0"/>
    <w:rsid w:val="00ED4BDB"/>
    <w:rsid w:val="00ED5D75"/>
    <w:rsid w:val="00ED645D"/>
    <w:rsid w:val="00EF36B7"/>
    <w:rsid w:val="00EF762C"/>
    <w:rsid w:val="00F16FE4"/>
    <w:rsid w:val="00F30D33"/>
    <w:rsid w:val="00F31114"/>
    <w:rsid w:val="00F445C1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2613"/>
    <w:rsid w:val="00F973C5"/>
    <w:rsid w:val="00FA2594"/>
    <w:rsid w:val="00FA38CA"/>
    <w:rsid w:val="00FC51C2"/>
    <w:rsid w:val="00FC5EB6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aliases w:val="Titulo de Fígura,TITULO A"/>
    <w:basedOn w:val="Normal"/>
    <w:link w:val="PrrafodelistaCar"/>
    <w:uiPriority w:val="72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yperlink" Target="http://www.psi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si.gob.p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ursoshumanos@psi.gob.p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D642F-967B-4525-9A5C-72B1FAC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13</Pages>
  <Words>3566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23136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424</cp:revision>
  <cp:lastPrinted>2019-05-06T15:33:00Z</cp:lastPrinted>
  <dcterms:created xsi:type="dcterms:W3CDTF">2019-01-24T19:07:00Z</dcterms:created>
  <dcterms:modified xsi:type="dcterms:W3CDTF">2019-05-15T20:58:00Z</dcterms:modified>
</cp:coreProperties>
</file>