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247B9B8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7E7E6D">
        <w:rPr>
          <w:rFonts w:ascii="Arial" w:eastAsia="Times New Roman" w:hAnsi="Arial" w:cs="Arial"/>
          <w:b/>
          <w:bCs/>
          <w:color w:val="000000"/>
          <w:lang w:val="es-PE" w:eastAsia="es-PE"/>
        </w:rPr>
        <w:t>2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35B3FD88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553A34">
        <w:rPr>
          <w:rFonts w:ascii="Arial" w:eastAsia="Times New Roman" w:hAnsi="Arial" w:cs="Arial"/>
          <w:b/>
          <w:bCs/>
          <w:color w:val="000000"/>
          <w:lang w:val="es-PE" w:eastAsia="es-PE"/>
        </w:rPr>
        <w:t>C</w:t>
      </w:r>
      <w:r w:rsidR="00C107DC">
        <w:rPr>
          <w:rFonts w:ascii="Arial" w:eastAsia="Times New Roman" w:hAnsi="Arial" w:cs="Arial"/>
          <w:b/>
          <w:bCs/>
          <w:color w:val="000000"/>
          <w:lang w:val="es-PE" w:eastAsia="es-PE"/>
        </w:rPr>
        <w:t>OORDINADOR ADMINISTRATIVO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5D7E005E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7E7E6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6EEEDF3" w:rsidR="001838F0" w:rsidRPr="008967D4" w:rsidRDefault="00C107DC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DIRECCIÓN DE INFRAESTRUCTURA DE RIEGO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5334B380" w:rsidR="001838F0" w:rsidRPr="008967D4" w:rsidRDefault="00517EDA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>COORDINADOR ADMINISTRATIVO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26EB8FF4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7E7E6D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2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169FD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C</w:t>
      </w:r>
      <w:r w:rsidR="00C107D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OORDINADOR ADMINISTRATIVO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026A446F" w:rsidR="001E577A" w:rsidRPr="00F23DFE" w:rsidRDefault="00C107DC" w:rsidP="00C107DC">
            <w:pPr>
              <w:shd w:val="clear" w:color="auto" w:fill="FFFFFF"/>
              <w:spacing w:after="100" w:afterAutospacing="1"/>
              <w:outlineLvl w:val="4"/>
              <w:rPr>
                <w:rFonts w:ascii="Arial" w:eastAsia="Times New Roman" w:hAnsi="Arial" w:cs="Arial"/>
                <w:caps/>
                <w:color w:val="5B5B60"/>
                <w:sz w:val="20"/>
                <w:szCs w:val="20"/>
                <w:lang w:val="es-PE" w:eastAsia="es-PE"/>
              </w:rPr>
            </w:pPr>
            <w:r w:rsidRPr="00C107DC">
              <w:rPr>
                <w:rFonts w:ascii="Arial" w:eastAsia="Times New Roman" w:hAnsi="Arial" w:cs="Arial"/>
                <w:caps/>
                <w:color w:val="5B5B60"/>
                <w:sz w:val="20"/>
                <w:szCs w:val="20"/>
                <w:lang w:val="es-PE" w:eastAsia="es-PE"/>
              </w:rPr>
              <w:t>DIRECCIÓN DE INFRAESTRUCTURA DE RIEGO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5E2B042D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N°0</w:t>
            </w:r>
            <w:r w:rsidR="001769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2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4CEA938A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1252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4EF5AC68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01252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34617A6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8432E7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17694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222E2C5E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8432E7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17694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122267FB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Horario: Según C</w:t>
                  </w:r>
                  <w:r w:rsidR="008432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alendario a publicar.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6FD660BA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8432E7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17694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30CAF613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Nº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17694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6D874C75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EB63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 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1A9AC60E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E642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02CBC002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E642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981F3D8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E642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proofErr w:type="gramStart"/>
      <w:r>
        <w:rPr>
          <w:rFonts w:ascii="Arial" w:eastAsia="Calibri" w:hAnsi="Arial" w:cs="Arial"/>
          <w:bCs/>
          <w:sz w:val="20"/>
          <w:szCs w:val="20"/>
        </w:rPr>
        <w:t>entre  treinta</w:t>
      </w:r>
      <w:proofErr w:type="gramEnd"/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636AA217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proofErr w:type="gramStart"/>
            <w:r>
              <w:rPr>
                <w:rFonts w:ascii="Arial" w:hAnsi="Arial" w:cs="Arial"/>
                <w:b/>
                <w:lang w:val="es-PE"/>
              </w:rPr>
              <w:t>DE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PUNTAJE</w:t>
            </w:r>
            <w:proofErr w:type="gramEnd"/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EP </w:t>
            </w:r>
            <w:proofErr w:type="gramStart"/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</w:t>
            </w:r>
            <w:proofErr w:type="gramEnd"/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proofErr w:type="gramStart"/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="00A060DB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 xml:space="preserve">lo </w:t>
      </w:r>
      <w:proofErr w:type="gramStart"/>
      <w:r w:rsidR="00034A79" w:rsidRPr="00897633">
        <w:rPr>
          <w:rFonts w:ascii="Arial" w:hAnsi="Arial" w:cs="Arial"/>
          <w:sz w:val="20"/>
          <w:szCs w:val="20"/>
        </w:rPr>
        <w:t>indicado</w:t>
      </w:r>
      <w:r w:rsidR="00505C98" w:rsidRPr="00897633">
        <w:rPr>
          <w:rFonts w:ascii="Arial" w:hAnsi="Arial" w:cs="Arial"/>
          <w:sz w:val="20"/>
          <w:szCs w:val="20"/>
        </w:rPr>
        <w:t>,  o</w:t>
      </w:r>
      <w:proofErr w:type="gramEnd"/>
      <w:r w:rsidR="00505C98" w:rsidRPr="00897633">
        <w:rPr>
          <w:rFonts w:ascii="Arial" w:hAnsi="Arial" w:cs="Arial"/>
          <w:sz w:val="20"/>
          <w:szCs w:val="20"/>
        </w:rPr>
        <w:t xml:space="preserve">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proofErr w:type="gramStart"/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</w:t>
      </w:r>
      <w:proofErr w:type="gramStart"/>
      <w:r w:rsidR="007C7F5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Anexo</w:t>
      </w:r>
      <w:proofErr w:type="gramEnd"/>
      <w:r>
        <w:rPr>
          <w:rFonts w:ascii="Arial" w:hAnsi="Arial" w:cs="Arial"/>
          <w:sz w:val="20"/>
          <w:szCs w:val="20"/>
        </w:rPr>
        <w:t xml:space="preserve">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61F60BA0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</w:t>
      </w:r>
      <w:r w:rsidR="00E828B7">
        <w:rPr>
          <w:rFonts w:ascii="Arial" w:eastAsia="Times New Roman" w:hAnsi="Arial" w:cs="Arial"/>
          <w:sz w:val="20"/>
          <w:szCs w:val="20"/>
        </w:rPr>
        <w:t>tres</w:t>
      </w:r>
      <w:r w:rsidR="000F175E">
        <w:rPr>
          <w:rFonts w:ascii="Arial" w:eastAsia="Times New Roman" w:hAnsi="Arial" w:cs="Arial"/>
          <w:sz w:val="20"/>
          <w:szCs w:val="20"/>
        </w:rPr>
        <w:t xml:space="preserve"> (</w:t>
      </w:r>
      <w:r w:rsidR="00E828B7">
        <w:rPr>
          <w:rFonts w:ascii="Arial" w:eastAsia="Times New Roman" w:hAnsi="Arial" w:cs="Arial"/>
          <w:sz w:val="20"/>
          <w:szCs w:val="20"/>
        </w:rPr>
        <w:t>3</w:t>
      </w:r>
      <w:r w:rsidR="000F175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83F1F75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349E69E9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</w:t>
      </w:r>
      <w:proofErr w:type="gramStart"/>
      <w:r w:rsidRPr="00D0371F">
        <w:rPr>
          <w:rFonts w:ascii="Arial" w:eastAsia="Times New Roman" w:hAnsi="Arial" w:cs="Arial"/>
          <w:sz w:val="20"/>
          <w:szCs w:val="20"/>
        </w:rPr>
        <w:t>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</w:t>
      </w:r>
      <w:proofErr w:type="gramEnd"/>
      <w:r w:rsidR="00204EC4" w:rsidRPr="00D0371F">
        <w:rPr>
          <w:rFonts w:ascii="Arial" w:eastAsia="Times New Roman" w:hAnsi="Arial" w:cs="Arial"/>
          <w:sz w:val="20"/>
          <w:szCs w:val="20"/>
        </w:rPr>
        <w:t xml:space="preserve">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8EEAD42" w14:textId="6FD15030" w:rsid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  <w:lang w:val="es-PE" w:eastAsia="en-US"/>
        </w:rPr>
      </w:pPr>
    </w:p>
    <w:p w14:paraId="4BFE40E4" w14:textId="77777777" w:rsidR="00F16FBD" w:rsidRPr="0071617D" w:rsidRDefault="00F16FBD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2F4A176" w14:textId="77777777" w:rsidR="00070118" w:rsidRPr="00AF15DB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7F9F2D37" w14:textId="61FA7253" w:rsidR="00CA4BB3" w:rsidRPr="00005C3E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055C2F">
        <w:rPr>
          <w:rFonts w:ascii="Arial" w:hAnsi="Arial" w:cs="Arial"/>
          <w:color w:val="000000"/>
          <w:sz w:val="20"/>
          <w:szCs w:val="20"/>
        </w:rPr>
        <w:t xml:space="preserve">Dirección de Infraestructura de Riego. </w:t>
      </w:r>
    </w:p>
    <w:p w14:paraId="411B3C68" w14:textId="5FB633DD" w:rsidR="004B0806" w:rsidRPr="00005C3E" w:rsidRDefault="004B0806" w:rsidP="00005C3E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005C3E">
        <w:rPr>
          <w:rFonts w:ascii="Arial" w:eastAsia="Times New Roman" w:hAnsi="Arial" w:cs="Arial"/>
          <w:b/>
          <w:bCs/>
          <w:color w:val="000000"/>
        </w:rPr>
        <w:t>OBJETO</w:t>
      </w:r>
      <w:r w:rsidR="003655F0" w:rsidRPr="00005C3E">
        <w:rPr>
          <w:rFonts w:ascii="Arial" w:eastAsia="Times New Roman" w:hAnsi="Arial" w:cs="Arial"/>
          <w:b/>
          <w:bCs/>
          <w:color w:val="000000"/>
        </w:rPr>
        <w:t>:</w:t>
      </w:r>
      <w:r w:rsidR="003655F0" w:rsidRPr="00005C3E">
        <w:rPr>
          <w:rFonts w:ascii="Arial" w:eastAsia="Times New Roman" w:hAnsi="Arial" w:cs="Arial"/>
          <w:bCs/>
          <w:color w:val="000000"/>
        </w:rPr>
        <w:t xml:space="preserve"> </w:t>
      </w:r>
      <w:r w:rsidR="009D4E11">
        <w:rPr>
          <w:rFonts w:ascii="Arial" w:eastAsia="Times New Roman" w:hAnsi="Arial" w:cs="Arial"/>
          <w:bCs/>
          <w:color w:val="000000"/>
        </w:rPr>
        <w:t>C</w:t>
      </w:r>
      <w:r w:rsidR="00055C2F">
        <w:rPr>
          <w:rFonts w:ascii="Arial" w:eastAsia="Times New Roman" w:hAnsi="Arial" w:cs="Arial"/>
          <w:bCs/>
          <w:color w:val="000000"/>
        </w:rPr>
        <w:t>oordinador Administrativo</w:t>
      </w:r>
    </w:p>
    <w:p w14:paraId="6CBD710D" w14:textId="0F6A35B2" w:rsidR="004B0806" w:rsidRPr="004B0806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51CD68EB" w14:textId="767862E6" w:rsidR="009D4E11" w:rsidRDefault="009F2895" w:rsidP="009D4E11">
      <w:pPr>
        <w:pStyle w:val="Prrafodelista"/>
        <w:numPr>
          <w:ilvl w:val="0"/>
          <w:numId w:val="14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>CARACTERISTICAS DEL PUESTO Y/O CARGO</w:t>
      </w:r>
    </w:p>
    <w:p w14:paraId="03771BC4" w14:textId="77777777" w:rsidR="009D4E11" w:rsidRPr="009D4E11" w:rsidRDefault="009D4E11" w:rsidP="009D4E11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397AB789" w14:textId="2DD257BB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sz w:val="20"/>
          <w:szCs w:val="20"/>
          <w:lang w:val="es-ES"/>
        </w:rPr>
        <w:t>Revisión, análisis, evaluación y gestión administrativa de los proyectos de pre inversión, proyectos de Inversión pública a cargo de la Dirección de Infraestructura de Riego del PSI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0E7EDEA5" w14:textId="4A8474D1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sz w:val="20"/>
          <w:szCs w:val="20"/>
          <w:lang w:val="es-ES"/>
        </w:rPr>
        <w:t xml:space="preserve">Revisión, análisis, evaluación y proyección de documentación Administrativa para requerimientos y/o Conformidad de Bienes y </w:t>
      </w:r>
      <w:r w:rsidR="001849C5" w:rsidRPr="00055C2F">
        <w:rPr>
          <w:rFonts w:ascii="Arial" w:hAnsi="Arial" w:cs="Arial"/>
          <w:sz w:val="20"/>
          <w:szCs w:val="20"/>
          <w:lang w:val="es-ES"/>
        </w:rPr>
        <w:t>Servicios de</w:t>
      </w:r>
      <w:r w:rsidRPr="00055C2F">
        <w:rPr>
          <w:rFonts w:ascii="Arial" w:hAnsi="Arial" w:cs="Arial"/>
          <w:sz w:val="20"/>
          <w:szCs w:val="20"/>
          <w:lang w:val="es-ES"/>
        </w:rPr>
        <w:t xml:space="preserve"> los proyectos de pre inversión, proyectos de Inversión pública a cargo de la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4301764" w14:textId="30D5AB41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Coordinar con el personal técnico </w:t>
      </w:r>
      <w:r w:rsidR="001849C5" w:rsidRPr="00055C2F">
        <w:rPr>
          <w:rFonts w:ascii="Arial" w:hAnsi="Arial" w:cs="Arial"/>
          <w:bCs/>
          <w:sz w:val="20"/>
          <w:szCs w:val="20"/>
          <w:lang w:val="es-MX"/>
        </w:rPr>
        <w:t>y administrativo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para las soluciones a los problemas técnicos-administrativos que se presenten durante el desarrollo de las </w:t>
      </w:r>
      <w:r w:rsidR="001849C5" w:rsidRPr="00055C2F">
        <w:rPr>
          <w:rFonts w:ascii="Arial" w:hAnsi="Arial" w:cs="Arial"/>
          <w:bCs/>
          <w:sz w:val="20"/>
          <w:szCs w:val="20"/>
          <w:lang w:val="es-MX"/>
        </w:rPr>
        <w:t>actividades de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los proyectos pre inversión y de inversión pública </w:t>
      </w:r>
      <w:r w:rsidRPr="00055C2F">
        <w:rPr>
          <w:rFonts w:ascii="Arial" w:hAnsi="Arial" w:cs="Arial"/>
          <w:sz w:val="20"/>
          <w:szCs w:val="20"/>
          <w:lang w:val="es-ES"/>
        </w:rPr>
        <w:t>de la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3FE1AB1" w14:textId="77BAB5C3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Revisión, analizar, evaluar y visar las solicitudes de requerimientos de bienes y servicios, proyectar la </w:t>
      </w:r>
      <w:r w:rsidR="001849C5" w:rsidRPr="00055C2F">
        <w:rPr>
          <w:rFonts w:ascii="Arial" w:hAnsi="Arial" w:cs="Arial"/>
          <w:bCs/>
          <w:sz w:val="20"/>
          <w:szCs w:val="20"/>
          <w:lang w:val="es-MX"/>
        </w:rPr>
        <w:t>documentación pertinente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a fin de garantizar un eficiente desarrollo de las actividades de la Dirección de Infraestructura de Riego relacionadas a los proyectos de pre – inversión y de inversión pública </w:t>
      </w:r>
      <w:r w:rsidRPr="00055C2F">
        <w:rPr>
          <w:rFonts w:ascii="Arial" w:hAnsi="Arial" w:cs="Arial"/>
          <w:sz w:val="20"/>
          <w:szCs w:val="20"/>
          <w:lang w:val="es-ES"/>
        </w:rPr>
        <w:t>de la Dirección de Infraestructura de Riego.</w:t>
      </w:r>
    </w:p>
    <w:p w14:paraId="3652B717" w14:textId="76C84871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Revisión, </w:t>
      </w:r>
      <w:r w:rsidR="001849C5" w:rsidRPr="00055C2F">
        <w:rPr>
          <w:rFonts w:ascii="Arial" w:hAnsi="Arial" w:cs="Arial"/>
          <w:bCs/>
          <w:sz w:val="20"/>
          <w:szCs w:val="20"/>
          <w:lang w:val="es-MX"/>
        </w:rPr>
        <w:t>analizar, elaborar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y visar las solicitudes de conformidad de los Bienes y servicios, servicios de terceros, y otros; proyectando la </w:t>
      </w:r>
      <w:r w:rsidR="001849C5" w:rsidRPr="00055C2F">
        <w:rPr>
          <w:rFonts w:ascii="Arial" w:hAnsi="Arial" w:cs="Arial"/>
          <w:bCs/>
          <w:sz w:val="20"/>
          <w:szCs w:val="20"/>
          <w:lang w:val="es-MX"/>
        </w:rPr>
        <w:t>documentación pertinente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a fin de garantizar su oportuno pago y con ello eficiente desarrollo de las actividades de la Dirección de Infraestructura de Riego relacionadas a los proyectos de pre – inversión y de inversión pública </w:t>
      </w:r>
      <w:r w:rsidRPr="00055C2F">
        <w:rPr>
          <w:rFonts w:ascii="Arial" w:hAnsi="Arial" w:cs="Arial"/>
          <w:sz w:val="20"/>
          <w:szCs w:val="20"/>
          <w:lang w:val="es-ES"/>
        </w:rPr>
        <w:t>de la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1E46CF70" w14:textId="77777777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Revisión y visación de los Términos de Referencia de los bienes y servicios, servicios de Consultoría, servicios de terceros, relacionados a la formulación de los estudios de pre </w:t>
      </w:r>
      <w:r w:rsidRPr="00055C2F">
        <w:rPr>
          <w:rFonts w:ascii="Arial" w:hAnsi="Arial" w:cs="Arial"/>
          <w:bCs/>
          <w:sz w:val="20"/>
          <w:szCs w:val="20"/>
          <w:lang w:val="es-MX"/>
        </w:rPr>
        <w:lastRenderedPageBreak/>
        <w:t xml:space="preserve">inversión, expedientes técnicos y de inversión pública </w:t>
      </w:r>
      <w:r w:rsidRPr="00055C2F">
        <w:rPr>
          <w:rFonts w:ascii="Arial" w:hAnsi="Arial" w:cs="Arial"/>
          <w:sz w:val="20"/>
          <w:szCs w:val="20"/>
          <w:lang w:val="es-ES"/>
        </w:rPr>
        <w:t>de la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1D90CC9D" w14:textId="77777777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Consolidar y sistematizar la formulación del Plan Operativo Anual y el Presupuesto (Gastos Operativos y/o Gestión) correspondiente a la Dirección de Infraestructura de Riego, relacionados a los proyectos de pre – inversión y de inversión pública </w:t>
      </w:r>
      <w:r w:rsidRPr="00055C2F">
        <w:rPr>
          <w:rFonts w:ascii="Arial" w:hAnsi="Arial" w:cs="Arial"/>
          <w:sz w:val="20"/>
          <w:szCs w:val="20"/>
          <w:lang w:val="es-ES"/>
        </w:rPr>
        <w:t>de la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y realizar su evaluación periódica.</w:t>
      </w:r>
    </w:p>
    <w:p w14:paraId="74F1EA6C" w14:textId="77777777" w:rsid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Elaboración de los cuadros de Nota Modificatorias presupuestales, informes, </w:t>
      </w:r>
      <w:proofErr w:type="gramStart"/>
      <w:r w:rsidRPr="00055C2F">
        <w:rPr>
          <w:rFonts w:ascii="Arial" w:hAnsi="Arial" w:cs="Arial"/>
          <w:bCs/>
          <w:sz w:val="20"/>
          <w:szCs w:val="20"/>
          <w:lang w:val="es-MX"/>
        </w:rPr>
        <w:t>sustento  y</w:t>
      </w:r>
      <w:proofErr w:type="gramEnd"/>
      <w:r w:rsidRPr="00055C2F">
        <w:rPr>
          <w:rFonts w:ascii="Arial" w:hAnsi="Arial" w:cs="Arial"/>
          <w:bCs/>
          <w:sz w:val="20"/>
          <w:szCs w:val="20"/>
          <w:lang w:val="es-MX"/>
        </w:rPr>
        <w:t xml:space="preserve"> proyectar documentación pertinente a fin de garantizar su aprobación, relacionado a los proyectos de pre inversión  y  de inversión pública </w:t>
      </w:r>
      <w:r w:rsidRPr="00055C2F">
        <w:rPr>
          <w:rFonts w:ascii="Arial" w:hAnsi="Arial" w:cs="Arial"/>
          <w:sz w:val="20"/>
          <w:szCs w:val="20"/>
          <w:lang w:val="es-ES"/>
        </w:rPr>
        <w:t>de la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>.</w:t>
      </w:r>
      <w:bookmarkEnd w:id="0"/>
    </w:p>
    <w:p w14:paraId="2A2EA5E2" w14:textId="3B1D7A84" w:rsidR="00055C2F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color w:val="000000"/>
          <w:sz w:val="20"/>
          <w:szCs w:val="20"/>
        </w:rPr>
        <w:t>Revisión, visación y trámite respectivo de las rendiciones de comisiones de servicios del personal de la</w:t>
      </w:r>
      <w:r w:rsidRPr="00055C2F">
        <w:rPr>
          <w:rFonts w:ascii="Arial" w:hAnsi="Arial" w:cs="Arial"/>
          <w:sz w:val="20"/>
          <w:szCs w:val="20"/>
          <w:lang w:val="es-ES"/>
        </w:rPr>
        <w:t xml:space="preserve"> Dirección de Infraestructura de Riego</w:t>
      </w:r>
      <w:r w:rsidRPr="00055C2F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63EEC16" w14:textId="7BC0E435" w:rsidR="00CA4BB3" w:rsidRPr="00055C2F" w:rsidRDefault="00055C2F" w:rsidP="00055C2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5C2F">
        <w:rPr>
          <w:rFonts w:ascii="Arial" w:hAnsi="Arial" w:cs="Arial"/>
          <w:bCs/>
          <w:sz w:val="20"/>
          <w:szCs w:val="20"/>
          <w:lang w:val="es-MX"/>
        </w:rPr>
        <w:t>Otras f</w:t>
      </w:r>
      <w:bookmarkStart w:id="1" w:name="_GoBack"/>
      <w:bookmarkEnd w:id="1"/>
      <w:r w:rsidRPr="00055C2F">
        <w:rPr>
          <w:rFonts w:ascii="Arial" w:hAnsi="Arial" w:cs="Arial"/>
          <w:bCs/>
          <w:sz w:val="20"/>
          <w:szCs w:val="20"/>
          <w:lang w:val="es-MX"/>
        </w:rPr>
        <w:t>unciones asignadas por la Dirección de Infraestructura de Riego, relacionadas a la misión del puesto.</w:t>
      </w:r>
      <w:r w:rsidRPr="00055C2F">
        <w:rPr>
          <w:rFonts w:ascii="Arial" w:hAnsi="Arial" w:cs="Arial"/>
          <w:bCs/>
          <w:sz w:val="20"/>
          <w:szCs w:val="20"/>
          <w:lang w:val="es-MX"/>
        </w:rPr>
        <w:tab/>
      </w:r>
    </w:p>
    <w:p w14:paraId="31FFCB9A" w14:textId="77777777" w:rsidR="00055C2F" w:rsidRPr="00055C2F" w:rsidRDefault="00055C2F" w:rsidP="00055C2F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C1A898F" w14:textId="17B415CF" w:rsidR="009D4E11" w:rsidRPr="00055C2F" w:rsidRDefault="009D7BCA" w:rsidP="009D4E11">
      <w:pPr>
        <w:pStyle w:val="Prrafodelista"/>
        <w:numPr>
          <w:ilvl w:val="0"/>
          <w:numId w:val="14"/>
        </w:numPr>
        <w:ind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55C2F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055C2F" w:rsidRPr="00055C2F" w14:paraId="5A969967" w14:textId="77777777" w:rsidTr="00A53F5C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3D32A0A5" w14:textId="77777777" w:rsidR="00055C2F" w:rsidRPr="00055C2F" w:rsidRDefault="00055C2F" w:rsidP="00A53F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5A49C1A4" w14:textId="77777777" w:rsidR="00055C2F" w:rsidRPr="00055C2F" w:rsidRDefault="00055C2F" w:rsidP="00A53F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055C2F" w:rsidRPr="00055C2F" w14:paraId="2ACA9B96" w14:textId="77777777" w:rsidTr="00A53F5C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87E2AD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E0FF405" w14:textId="77777777" w:rsidR="00055C2F" w:rsidRPr="00055C2F" w:rsidRDefault="00055C2F" w:rsidP="00055C2F">
            <w:pPr>
              <w:numPr>
                <w:ilvl w:val="0"/>
                <w:numId w:val="25"/>
              </w:numPr>
              <w:ind w:left="358" w:right="191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Experiencia General de diez (10) años en el Sector Público y/o Privado.</w:t>
            </w:r>
          </w:p>
          <w:p w14:paraId="6511303E" w14:textId="77777777" w:rsidR="00055C2F" w:rsidRPr="00055C2F" w:rsidRDefault="00055C2F" w:rsidP="00055C2F">
            <w:pPr>
              <w:numPr>
                <w:ilvl w:val="0"/>
                <w:numId w:val="25"/>
              </w:numPr>
              <w:ind w:left="358" w:right="191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Experiencia laboral de ocho (08) años en el Sector público.</w:t>
            </w:r>
          </w:p>
          <w:p w14:paraId="5F749EDA" w14:textId="057D2E4F" w:rsidR="00055C2F" w:rsidRPr="00055C2F" w:rsidRDefault="00055C2F" w:rsidP="00055C2F">
            <w:pPr>
              <w:numPr>
                <w:ilvl w:val="0"/>
                <w:numId w:val="25"/>
              </w:numPr>
              <w:ind w:left="358" w:right="191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laboral de </w:t>
            </w:r>
            <w:r w:rsidR="00E45499" w:rsidRPr="00055C2F">
              <w:rPr>
                <w:rFonts w:ascii="Arial" w:hAnsi="Arial" w:cs="Arial"/>
                <w:color w:val="000000"/>
                <w:sz w:val="20"/>
                <w:szCs w:val="20"/>
              </w:rPr>
              <w:t>tres (</w:t>
            </w: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 xml:space="preserve">03) años en cargos similares. </w:t>
            </w:r>
          </w:p>
          <w:p w14:paraId="17FEF35B" w14:textId="77777777" w:rsidR="00055C2F" w:rsidRPr="00055C2F" w:rsidRDefault="00055C2F" w:rsidP="00A53F5C">
            <w:pPr>
              <w:ind w:left="312" w:right="191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5C2F" w:rsidRPr="00055C2F" w14:paraId="7914D0A4" w14:textId="77777777" w:rsidTr="00A53F5C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BFA5CE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848A149" w14:textId="77777777" w:rsidR="00055C2F" w:rsidRPr="00055C2F" w:rsidRDefault="00055C2F" w:rsidP="00A53F5C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603201" w14:textId="77777777" w:rsidR="00055C2F" w:rsidRPr="00055C2F" w:rsidRDefault="00055C2F" w:rsidP="00055C2F">
            <w:pPr>
              <w:numPr>
                <w:ilvl w:val="0"/>
                <w:numId w:val="25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Orientación hacia resultados.</w:t>
            </w:r>
          </w:p>
          <w:p w14:paraId="366B2AF4" w14:textId="77777777" w:rsidR="00055C2F" w:rsidRPr="00055C2F" w:rsidRDefault="00055C2F" w:rsidP="00055C2F">
            <w:pPr>
              <w:numPr>
                <w:ilvl w:val="0"/>
                <w:numId w:val="25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Trabajo en equipo </w:t>
            </w:r>
          </w:p>
          <w:p w14:paraId="485B9D45" w14:textId="77777777" w:rsidR="00055C2F" w:rsidRPr="00055C2F" w:rsidRDefault="00055C2F" w:rsidP="00055C2F">
            <w:pPr>
              <w:numPr>
                <w:ilvl w:val="0"/>
                <w:numId w:val="25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 xml:space="preserve">Vocación de servicio </w:t>
            </w:r>
          </w:p>
          <w:p w14:paraId="7DAD369B" w14:textId="77777777" w:rsidR="00055C2F" w:rsidRPr="00055C2F" w:rsidRDefault="00055C2F" w:rsidP="00A53F5C">
            <w:pPr>
              <w:spacing w:line="276" w:lineRule="auto"/>
              <w:ind w:left="355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55C2F" w:rsidRPr="00055C2F" w14:paraId="6AC02A00" w14:textId="77777777" w:rsidTr="00A53F5C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9518FE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28EC9407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F79C86" w14:textId="77777777" w:rsidR="00055C2F" w:rsidRPr="00055C2F" w:rsidRDefault="00055C2F" w:rsidP="00055C2F">
            <w:pPr>
              <w:numPr>
                <w:ilvl w:val="0"/>
                <w:numId w:val="25"/>
              </w:numPr>
              <w:spacing w:line="276" w:lineRule="auto"/>
              <w:ind w:left="312" w:hanging="28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Título profesional de Contador Público, Administrador de Empresa, Economista y similares.</w:t>
            </w:r>
          </w:p>
          <w:p w14:paraId="343C7B33" w14:textId="77777777" w:rsidR="00055C2F" w:rsidRPr="00055C2F" w:rsidRDefault="00055C2F" w:rsidP="00055C2F">
            <w:pPr>
              <w:numPr>
                <w:ilvl w:val="0"/>
                <w:numId w:val="25"/>
              </w:numPr>
              <w:spacing w:line="276" w:lineRule="auto"/>
              <w:ind w:left="312" w:hanging="28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Colegiado y Habilitado.</w:t>
            </w:r>
          </w:p>
          <w:p w14:paraId="0F4F280D" w14:textId="77777777" w:rsidR="00055C2F" w:rsidRPr="00055C2F" w:rsidRDefault="00055C2F" w:rsidP="00A53F5C">
            <w:pPr>
              <w:spacing w:line="276" w:lineRule="auto"/>
              <w:ind w:left="31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C2F" w:rsidRPr="00055C2F" w14:paraId="0EBF70F5" w14:textId="77777777" w:rsidTr="00A53F5C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83370" w14:textId="77777777" w:rsidR="00055C2F" w:rsidRPr="00055C2F" w:rsidRDefault="00055C2F" w:rsidP="00A53F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  <w:p w14:paraId="607A500A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5D6F3E" w14:textId="0F705312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 xml:space="preserve">Curso de gestión por procesos y mejora </w:t>
            </w:r>
            <w:r w:rsidR="00657A17" w:rsidRPr="00055C2F">
              <w:rPr>
                <w:rFonts w:ascii="Arial" w:hAnsi="Arial" w:cs="Arial"/>
                <w:sz w:val="20"/>
                <w:szCs w:val="20"/>
              </w:rPr>
              <w:t>continua</w:t>
            </w:r>
            <w:r w:rsidRPr="00055C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816EAC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>Auditoria de obras públicas</w:t>
            </w:r>
          </w:p>
          <w:p w14:paraId="567F8B75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>Curso de Ley de Contrataciones del Estado y su Reglamento.</w:t>
            </w:r>
          </w:p>
          <w:p w14:paraId="7615F293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>Curso de Presupuesto, proyectos de inversión y EE.FF.</w:t>
            </w:r>
          </w:p>
          <w:p w14:paraId="4307E0E5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>Curso SIAF</w:t>
            </w:r>
          </w:p>
          <w:p w14:paraId="204B95D3" w14:textId="77777777" w:rsidR="00055C2F" w:rsidRPr="00055C2F" w:rsidRDefault="00055C2F" w:rsidP="00A53F5C">
            <w:pPr>
              <w:pStyle w:val="Prrafodelista"/>
              <w:spacing w:line="259" w:lineRule="auto"/>
              <w:ind w:left="3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C2F" w:rsidRPr="00055C2F" w14:paraId="54DB5210" w14:textId="77777777" w:rsidTr="00A53F5C">
        <w:trPr>
          <w:trHeight w:val="38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5D2E69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Conocimiento para el puesto y/o cargo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CA4FF4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>Computación – Microsoft Excel y Windows.</w:t>
            </w:r>
          </w:p>
          <w:p w14:paraId="426A2D5D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 xml:space="preserve">SIAF </w:t>
            </w:r>
          </w:p>
          <w:p w14:paraId="7E5B2DEF" w14:textId="77777777" w:rsidR="00055C2F" w:rsidRPr="00055C2F" w:rsidRDefault="00055C2F" w:rsidP="00055C2F">
            <w:pPr>
              <w:pStyle w:val="Prrafodelista"/>
              <w:numPr>
                <w:ilvl w:val="0"/>
                <w:numId w:val="26"/>
              </w:numPr>
              <w:spacing w:after="0" w:line="259" w:lineRule="auto"/>
              <w:ind w:left="312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sz w:val="20"/>
                <w:szCs w:val="20"/>
              </w:rPr>
              <w:t>Herramientas informáticas para la ejecución de sus funciones.</w:t>
            </w:r>
          </w:p>
          <w:p w14:paraId="0AFE3246" w14:textId="77777777" w:rsidR="00055C2F" w:rsidRPr="00055C2F" w:rsidRDefault="00055C2F" w:rsidP="00A53F5C">
            <w:pPr>
              <w:pStyle w:val="Prrafodelista"/>
              <w:spacing w:line="259" w:lineRule="auto"/>
              <w:ind w:left="3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B16370" w14:textId="77777777" w:rsidR="00F7315A" w:rsidRPr="00055C2F" w:rsidRDefault="00F7315A" w:rsidP="0044419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740BE63" w14:textId="4F043AA3" w:rsidR="00F7315A" w:rsidRPr="00055C2F" w:rsidRDefault="00005C3E" w:rsidP="00F7315A">
      <w:pPr>
        <w:ind w:left="1440" w:right="310" w:hanging="14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55C2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VI</w:t>
      </w:r>
      <w:r w:rsidR="009F2895" w:rsidRPr="00055C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   </w:t>
      </w:r>
      <w:r w:rsidR="00F7315A" w:rsidRPr="00055C2F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CONDICIONES ESENCIALES DEL CONTRATO</w:t>
      </w:r>
    </w:p>
    <w:p w14:paraId="0F318A3A" w14:textId="77777777" w:rsidR="003655F0" w:rsidRPr="00055C2F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055C2F" w:rsidRPr="00055C2F" w14:paraId="1E0BA023" w14:textId="77777777" w:rsidTr="00A53F5C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3F7BEE27" w14:textId="77777777" w:rsidR="00055C2F" w:rsidRPr="00055C2F" w:rsidRDefault="00055C2F" w:rsidP="00A53F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106C1919" w14:textId="77777777" w:rsidR="00055C2F" w:rsidRPr="00055C2F" w:rsidRDefault="00055C2F" w:rsidP="00A53F5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055C2F" w:rsidRPr="00055C2F" w14:paraId="16F25BE7" w14:textId="77777777" w:rsidTr="00A53F5C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F0B2034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F3B4A" w14:textId="77777777" w:rsidR="00055C2F" w:rsidRPr="00055C2F" w:rsidRDefault="00055C2F" w:rsidP="00A53F5C">
            <w:pPr>
              <w:spacing w:line="276" w:lineRule="auto"/>
              <w:ind w:left="35" w:right="49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Dirección de Infraestructura de Riego. - Sede Central del PSI.</w:t>
            </w:r>
          </w:p>
        </w:tc>
      </w:tr>
      <w:tr w:rsidR="00055C2F" w:rsidRPr="00055C2F" w14:paraId="0CF8A7E0" w14:textId="77777777" w:rsidTr="00A53F5C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BC7479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</w:tcPr>
          <w:p w14:paraId="5ACD31B4" w14:textId="3D5C4622" w:rsidR="00055C2F" w:rsidRPr="00055C2F" w:rsidRDefault="00055C2F" w:rsidP="00A53F5C">
            <w:pPr>
              <w:spacing w:line="276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 xml:space="preserve"> Tres (3) meses </w:t>
            </w:r>
          </w:p>
        </w:tc>
      </w:tr>
      <w:tr w:rsidR="00055C2F" w:rsidRPr="00055C2F" w14:paraId="793F696E" w14:textId="77777777" w:rsidTr="00A53F5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4CFBEA" w14:textId="77777777" w:rsidR="00055C2F" w:rsidRPr="00055C2F" w:rsidRDefault="00055C2F" w:rsidP="00A53F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14:paraId="36691B0C" w14:textId="77777777" w:rsidR="00055C2F" w:rsidRPr="00055C2F" w:rsidRDefault="00055C2F" w:rsidP="00A53F5C">
            <w:pPr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C2F" w:rsidRPr="00055C2F" w14:paraId="3F390DA2" w14:textId="77777777" w:rsidTr="00A53F5C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0BCAB82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0C4829" w14:textId="77777777" w:rsidR="00055C2F" w:rsidRPr="00055C2F" w:rsidRDefault="00055C2F" w:rsidP="00A53F5C">
            <w:pPr>
              <w:spacing w:line="276" w:lineRule="auto"/>
              <w:ind w:left="35" w:right="19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S/.10,000.00 (Diez mil y</w:t>
            </w:r>
            <w:r w:rsidRPr="00055C2F">
              <w:rPr>
                <w:rFonts w:ascii="Arial" w:hAnsi="Arial" w:cs="Arial"/>
                <w:sz w:val="20"/>
                <w:szCs w:val="20"/>
              </w:rPr>
              <w:t xml:space="preserve"> 00/100 Soles)</w:t>
            </w: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. Incluyen todos los montos y afiliaciones de ley, así como toda deducción aplicable al trabajador.</w:t>
            </w:r>
          </w:p>
        </w:tc>
      </w:tr>
      <w:tr w:rsidR="00055C2F" w:rsidRPr="00055C2F" w14:paraId="24A4E959" w14:textId="77777777" w:rsidTr="00A53F5C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CCD74C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5C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F6C311C" w14:textId="77777777" w:rsidR="00055C2F" w:rsidRPr="00055C2F" w:rsidRDefault="00055C2F" w:rsidP="00A53F5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055C2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055C2F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7A908139" w14:textId="77777777" w:rsidR="003655F0" w:rsidRPr="009F2895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D2D8" w14:textId="77777777" w:rsidR="008A340A" w:rsidRDefault="008A340A" w:rsidP="00FD6F46">
      <w:r>
        <w:separator/>
      </w:r>
    </w:p>
  </w:endnote>
  <w:endnote w:type="continuationSeparator" w:id="0">
    <w:p w14:paraId="012EC119" w14:textId="77777777" w:rsidR="008A340A" w:rsidRDefault="008A340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ED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0E82" w14:textId="77777777" w:rsidR="008A340A" w:rsidRDefault="008A340A" w:rsidP="00FD6F46">
      <w:r>
        <w:separator/>
      </w:r>
    </w:p>
  </w:footnote>
  <w:footnote w:type="continuationSeparator" w:id="0">
    <w:p w14:paraId="5FA557CD" w14:textId="77777777" w:rsidR="008A340A" w:rsidRDefault="008A340A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12934B95"/>
    <w:multiLevelType w:val="hybridMultilevel"/>
    <w:tmpl w:val="A1141A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6AED"/>
    <w:multiLevelType w:val="hybridMultilevel"/>
    <w:tmpl w:val="47E0D8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B52B3"/>
    <w:multiLevelType w:val="hybridMultilevel"/>
    <w:tmpl w:val="EC02AEEE"/>
    <w:lvl w:ilvl="0" w:tplc="0C0A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1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41652F5"/>
    <w:multiLevelType w:val="hybridMultilevel"/>
    <w:tmpl w:val="9E605E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22"/>
  </w:num>
  <w:num w:numId="5">
    <w:abstractNumId w:val="2"/>
  </w:num>
  <w:num w:numId="6">
    <w:abstractNumId w:val="12"/>
  </w:num>
  <w:num w:numId="7">
    <w:abstractNumId w:val="17"/>
  </w:num>
  <w:num w:numId="8">
    <w:abstractNumId w:val="10"/>
  </w:num>
  <w:num w:numId="9">
    <w:abstractNumId w:val="4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24"/>
  </w:num>
  <w:num w:numId="18">
    <w:abstractNumId w:val="16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6"/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2525"/>
    <w:rsid w:val="000146A5"/>
    <w:rsid w:val="000157E3"/>
    <w:rsid w:val="000158DB"/>
    <w:rsid w:val="00015A2E"/>
    <w:rsid w:val="00016A1A"/>
    <w:rsid w:val="00021178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5C2F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D11A2"/>
    <w:rsid w:val="000D259E"/>
    <w:rsid w:val="000D3A45"/>
    <w:rsid w:val="000E05F8"/>
    <w:rsid w:val="000E7CAA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76949"/>
    <w:rsid w:val="00181AA9"/>
    <w:rsid w:val="001838F0"/>
    <w:rsid w:val="00183E76"/>
    <w:rsid w:val="001849C5"/>
    <w:rsid w:val="0018623F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C6AE9"/>
    <w:rsid w:val="001E1218"/>
    <w:rsid w:val="001E1D0D"/>
    <w:rsid w:val="001E35CC"/>
    <w:rsid w:val="001E577A"/>
    <w:rsid w:val="001E6422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08F2"/>
    <w:rsid w:val="0024288A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BAB"/>
    <w:rsid w:val="003A7BB7"/>
    <w:rsid w:val="003B4182"/>
    <w:rsid w:val="003C22E7"/>
    <w:rsid w:val="003C714E"/>
    <w:rsid w:val="003D30CF"/>
    <w:rsid w:val="003D568E"/>
    <w:rsid w:val="003E0FA0"/>
    <w:rsid w:val="003E3F65"/>
    <w:rsid w:val="003E68B4"/>
    <w:rsid w:val="003F07D0"/>
    <w:rsid w:val="003F291F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5C98"/>
    <w:rsid w:val="00506384"/>
    <w:rsid w:val="0051264F"/>
    <w:rsid w:val="00515578"/>
    <w:rsid w:val="00517EDA"/>
    <w:rsid w:val="00527020"/>
    <w:rsid w:val="00530F9A"/>
    <w:rsid w:val="00531143"/>
    <w:rsid w:val="00532D46"/>
    <w:rsid w:val="00533F98"/>
    <w:rsid w:val="005357C5"/>
    <w:rsid w:val="00537E8F"/>
    <w:rsid w:val="00542C19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41B52"/>
    <w:rsid w:val="00641B71"/>
    <w:rsid w:val="00642E81"/>
    <w:rsid w:val="00651DAA"/>
    <w:rsid w:val="006543BE"/>
    <w:rsid w:val="00657A17"/>
    <w:rsid w:val="00657A23"/>
    <w:rsid w:val="00657B50"/>
    <w:rsid w:val="006658D1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5402"/>
    <w:rsid w:val="00777077"/>
    <w:rsid w:val="007816D0"/>
    <w:rsid w:val="00782A62"/>
    <w:rsid w:val="0078598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4977"/>
    <w:rsid w:val="00807B55"/>
    <w:rsid w:val="008175D7"/>
    <w:rsid w:val="00826310"/>
    <w:rsid w:val="00834684"/>
    <w:rsid w:val="00842375"/>
    <w:rsid w:val="008432E7"/>
    <w:rsid w:val="008447A8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340A"/>
    <w:rsid w:val="008A48D9"/>
    <w:rsid w:val="008A5B49"/>
    <w:rsid w:val="008B3D48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672C"/>
    <w:rsid w:val="009D364B"/>
    <w:rsid w:val="009D4549"/>
    <w:rsid w:val="009D4E11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57E4F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07DC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636A5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7A22"/>
    <w:rsid w:val="00E45499"/>
    <w:rsid w:val="00E5188E"/>
    <w:rsid w:val="00E54495"/>
    <w:rsid w:val="00E645CA"/>
    <w:rsid w:val="00E672D6"/>
    <w:rsid w:val="00E70A59"/>
    <w:rsid w:val="00E756C7"/>
    <w:rsid w:val="00E800FB"/>
    <w:rsid w:val="00E828B7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6312"/>
    <w:rsid w:val="00EB7A67"/>
    <w:rsid w:val="00EC0A26"/>
    <w:rsid w:val="00EC0B75"/>
    <w:rsid w:val="00ED36D0"/>
    <w:rsid w:val="00ED4BDB"/>
    <w:rsid w:val="00ED5D75"/>
    <w:rsid w:val="00ED645D"/>
    <w:rsid w:val="00EE55F2"/>
    <w:rsid w:val="00EF36B7"/>
    <w:rsid w:val="00EF762C"/>
    <w:rsid w:val="00F16FBD"/>
    <w:rsid w:val="00F16FE4"/>
    <w:rsid w:val="00F21278"/>
    <w:rsid w:val="00F23DFE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C107DC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C107DC"/>
    <w:rPr>
      <w:rFonts w:ascii="Times New Roman" w:eastAsia="Times New Roman" w:hAnsi="Times New Roman"/>
      <w:b/>
      <w:bCs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A135D-872B-439D-839E-731F9659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13</Pages>
  <Words>3708</Words>
  <Characters>20395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24055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500</cp:revision>
  <cp:lastPrinted>2019-09-09T16:31:00Z</cp:lastPrinted>
  <dcterms:created xsi:type="dcterms:W3CDTF">2019-01-24T19:07:00Z</dcterms:created>
  <dcterms:modified xsi:type="dcterms:W3CDTF">2019-09-09T16:31:00Z</dcterms:modified>
</cp:coreProperties>
</file>