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02EE39E1" w:rsidR="00B13569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656DE5">
        <w:rPr>
          <w:rFonts w:ascii="Arial" w:eastAsia="Times New Roman" w:hAnsi="Arial" w:cs="Arial"/>
          <w:b/>
          <w:bCs/>
          <w:color w:val="000000"/>
          <w:lang w:val="es-PE" w:eastAsia="es-PE"/>
        </w:rPr>
        <w:t>N°11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3E2C350E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902FEB" w:rsidRPr="00902FEB">
        <w:rPr>
          <w:rFonts w:ascii="Arial" w:hAnsi="Arial" w:cs="Arial"/>
          <w:b/>
          <w:bCs/>
          <w:iCs/>
          <w:sz w:val="22"/>
          <w:szCs w:val="22"/>
        </w:rPr>
        <w:t>PROFESIONAL EN GESTIÓN DE PRESUPUESTO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16EAF4E9" w:rsidR="001838F0" w:rsidRPr="002A42A3" w:rsidRDefault="00A5411B" w:rsidP="00A113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A42A3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0CCF325D" w:rsidR="00C30A09" w:rsidRPr="002A42A3" w:rsidRDefault="00165EFF" w:rsidP="00A1137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42A3">
              <w:rPr>
                <w:rFonts w:ascii="Arial" w:hAnsi="Arial" w:cs="Arial"/>
                <w:bCs/>
                <w:iCs/>
                <w:sz w:val="20"/>
                <w:szCs w:val="20"/>
              </w:rPr>
              <w:t>OFICINA DE PLANEAMIENTO, PRESUPUESTO Y SEGUIMIENTO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CA73" w14:textId="6FFA17DB" w:rsidR="00656DE5" w:rsidRPr="002A42A3" w:rsidRDefault="00165EFF" w:rsidP="00165EFF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42A3">
              <w:rPr>
                <w:rFonts w:ascii="Arial" w:hAnsi="Arial" w:cs="Arial"/>
                <w:bCs/>
                <w:iCs/>
                <w:sz w:val="20"/>
                <w:szCs w:val="20"/>
              </w:rPr>
              <w:t>PROFESIONAL EN GESTIÓN DE PRESUPUESTO</w:t>
            </w:r>
          </w:p>
          <w:p w14:paraId="0C1A8650" w14:textId="55B6A2B5" w:rsidR="00186C93" w:rsidRPr="002A42A3" w:rsidRDefault="00186C93" w:rsidP="00186C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2A42A3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A42A3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51772" w:rsidRPr="002A42A3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2A42A3" w:rsidRDefault="00951772" w:rsidP="00A113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2A42A3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LIMA</w:t>
            </w:r>
          </w:p>
        </w:tc>
      </w:tr>
    </w:tbl>
    <w:p w14:paraId="03CBDD13" w14:textId="77777777" w:rsidR="00C30A09" w:rsidRPr="00C30A09" w:rsidRDefault="00C30A09" w:rsidP="00C30A09">
      <w:pPr>
        <w:spacing w:after="160" w:line="259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50A6724" w14:textId="2D9DCDD4" w:rsidR="0076016D" w:rsidRPr="00656DE5" w:rsidRDefault="0076016D" w:rsidP="00C30A09">
      <w:pPr>
        <w:spacing w:after="160" w:line="259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CRONOGRAMA Y ET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P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S</w:t>
      </w:r>
      <w:r w:rsidRPr="00733742">
        <w:rPr>
          <w:rFonts w:ascii="Arial" w:eastAsia="Times New Roman" w:hAnsi="Arial" w:cs="Arial"/>
          <w:b/>
          <w:spacing w:val="11"/>
          <w:sz w:val="22"/>
          <w:szCs w:val="22"/>
          <w:lang w:val="es-PE"/>
        </w:rPr>
        <w:t xml:space="preserve"> DE LA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N°</w:t>
      </w:r>
      <w:r w:rsidR="00656DE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 11</w:t>
      </w:r>
      <w:r w:rsidR="00951772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SETIEMBRE</w:t>
      </w:r>
      <w:r w:rsidR="00094A28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-2019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733742">
        <w:rPr>
          <w:rFonts w:ascii="Arial" w:eastAsia="Times New Roman" w:hAnsi="Arial" w:cs="Arial"/>
          <w:b/>
          <w:sz w:val="22"/>
          <w:szCs w:val="22"/>
          <w:lang w:val="es-PE"/>
        </w:rPr>
        <w:t xml:space="preserve">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(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656DE5" w:rsidRPr="008B45E6">
        <w:rPr>
          <w:rFonts w:ascii="Arial" w:hAnsi="Arial" w:cs="Arial"/>
          <w:bCs/>
          <w:iCs/>
          <w:sz w:val="22"/>
          <w:szCs w:val="22"/>
        </w:rPr>
        <w:t xml:space="preserve">Profesional en Gestión de </w:t>
      </w:r>
      <w:r w:rsidR="00656DE5">
        <w:rPr>
          <w:rFonts w:ascii="Arial" w:hAnsi="Arial" w:cs="Arial"/>
          <w:bCs/>
          <w:iCs/>
          <w:sz w:val="22"/>
          <w:szCs w:val="22"/>
        </w:rPr>
        <w:t>Presupuesto</w:t>
      </w:r>
      <w:r w:rsidR="002A42A3">
        <w:rPr>
          <w:rFonts w:ascii="Arial" w:hAnsi="Arial" w:cs="Arial"/>
          <w:bCs/>
          <w:iCs/>
          <w:sz w:val="22"/>
          <w:szCs w:val="22"/>
        </w:rPr>
        <w:t>.</w:t>
      </w:r>
    </w:p>
    <w:p w14:paraId="45CBC465" w14:textId="77777777" w:rsidR="007F2920" w:rsidRPr="0076016D" w:rsidRDefault="007F2920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433E4B52" w:rsidR="001E577A" w:rsidRPr="00FC1B46" w:rsidRDefault="00384E91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48652F">
              <w:rPr>
                <w:rFonts w:ascii="Arial" w:hAnsi="Arial" w:cs="Arial"/>
                <w:bCs/>
                <w:iCs/>
                <w:sz w:val="22"/>
                <w:szCs w:val="22"/>
              </w:rPr>
              <w:t>Oficina de Planeamiento, Presupuesto y Seguimiento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4EC1F5A9" w:rsidR="001E577A" w:rsidRPr="0071330C" w:rsidRDefault="001E577A" w:rsidP="00030939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656DE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11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888558B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C5C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372AD4B9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82C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59B71F98" w:rsidR="000F14DE" w:rsidRPr="000F14DE" w:rsidRDefault="001E577A" w:rsidP="00384E91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="00656DE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251CC6EF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="00656DE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11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703E31AD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="00656DE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11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1A241DFC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656DE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  <w:p w14:paraId="204F1D44" w14:textId="6806B543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8F5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43A84F2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D498A83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57E1126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1737150E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D71C2F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>
              <w:rPr>
                <w:rFonts w:ascii="Arial" w:hAnsi="Arial" w:cs="Arial"/>
                <w:b/>
                <w:lang w:val="es-PE"/>
              </w:rPr>
              <w:t>DE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PUNTAJE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POR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EP 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19EE1AC8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5E86192F" w14:textId="5981188F" w:rsidR="002A42A3" w:rsidRDefault="002A42A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89802C9" w14:textId="0AAFB4E3" w:rsidR="002A42A3" w:rsidRDefault="002A42A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63B80F5F" w14:textId="77777777" w:rsidR="002A42A3" w:rsidRDefault="002A42A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lastRenderedPageBreak/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>lo indicado</w:t>
      </w:r>
      <w:r w:rsidR="00505C98" w:rsidRPr="00897633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AEDDF62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>
        <w:rPr>
          <w:rFonts w:ascii="Arial" w:eastAsia="Times New Roman" w:hAnsi="Arial" w:cs="Arial"/>
          <w:sz w:val="20"/>
          <w:szCs w:val="20"/>
        </w:rPr>
        <w:t xml:space="preserve">ción requerida durante </w:t>
      </w:r>
      <w:r w:rsidR="00CC151F" w:rsidRPr="002A42A3">
        <w:rPr>
          <w:rFonts w:ascii="Arial" w:eastAsia="Times New Roman" w:hAnsi="Arial" w:cs="Arial"/>
          <w:sz w:val="20"/>
          <w:szCs w:val="20"/>
        </w:rPr>
        <w:t>los tres (3</w:t>
      </w:r>
      <w:r w:rsidR="000F175E" w:rsidRPr="002A42A3">
        <w:rPr>
          <w:rFonts w:ascii="Arial" w:eastAsia="Times New Roman" w:hAnsi="Arial" w:cs="Arial"/>
          <w:sz w:val="20"/>
          <w:szCs w:val="20"/>
        </w:rPr>
        <w:t>) días hábiles</w:t>
      </w:r>
      <w:r w:rsidR="000F175E">
        <w:rPr>
          <w:rFonts w:ascii="Arial" w:eastAsia="Times New Roman" w:hAnsi="Arial" w:cs="Arial"/>
          <w:sz w:val="20"/>
          <w:szCs w:val="20"/>
        </w:rPr>
        <w:t xml:space="preserve">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40BD77B1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2A42A3">
        <w:rPr>
          <w:rFonts w:ascii="Arial" w:eastAsia="Times New Roman" w:hAnsi="Arial" w:cs="Arial"/>
          <w:sz w:val="20"/>
          <w:szCs w:val="20"/>
        </w:rPr>
        <w:t xml:space="preserve">hábiles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 ganador)</w:t>
      </w:r>
      <w:r w:rsidR="002A42A3">
        <w:rPr>
          <w:rFonts w:ascii="Arial" w:eastAsia="Times New Roman" w:hAnsi="Arial" w:cs="Arial"/>
          <w:sz w:val="20"/>
          <w:szCs w:val="20"/>
        </w:rPr>
        <w:t>.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Una 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2CDC6299" w14:textId="77777777" w:rsidR="002D0498" w:rsidRPr="002D0498" w:rsidRDefault="002D0498" w:rsidP="002D0498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63C8E3EA" w14:textId="77777777" w:rsidR="002D0498" w:rsidRPr="002D0498" w:rsidRDefault="002D0498" w:rsidP="002D0498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4237"/>
        <w:gridCol w:w="223"/>
        <w:gridCol w:w="1317"/>
        <w:gridCol w:w="1403"/>
      </w:tblGrid>
      <w:tr w:rsidR="000D337C" w:rsidRPr="00DB2BB1" w14:paraId="69B47882" w14:textId="77777777" w:rsidTr="00F31173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2FF5" w14:textId="77777777" w:rsidR="000D337C" w:rsidRPr="00DB2BB1" w:rsidRDefault="000D337C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BD2C" w14:textId="77777777" w:rsidR="000D337C" w:rsidRPr="00DB2BB1" w:rsidRDefault="000D337C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        ANEXO N°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B6F" w14:textId="77777777" w:rsidR="000D337C" w:rsidRPr="00DB2BB1" w:rsidRDefault="000D337C" w:rsidP="00F31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0D337C" w:rsidRPr="00DB2BB1" w14:paraId="0B7354C4" w14:textId="77777777" w:rsidTr="00F31173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135B" w14:textId="77777777" w:rsidR="000D337C" w:rsidRPr="00DB2BB1" w:rsidRDefault="000D337C" w:rsidP="00F31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CRITERIOS DE EVALUACIÓN CURRICULAR (*)</w:t>
            </w:r>
          </w:p>
        </w:tc>
      </w:tr>
      <w:tr w:rsidR="000D337C" w:rsidRPr="00DB2BB1" w14:paraId="1B610A82" w14:textId="77777777" w:rsidTr="00F31173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9A59" w14:textId="77777777" w:rsidR="000D337C" w:rsidRPr="00DB2BB1" w:rsidRDefault="000D337C" w:rsidP="00F31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3C8D" w14:textId="77777777" w:rsidR="000D337C" w:rsidRPr="00DB2BB1" w:rsidRDefault="000D337C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622" w14:textId="77777777" w:rsidR="000D337C" w:rsidRPr="00DB2BB1" w:rsidRDefault="000D337C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76F0" w14:textId="77777777" w:rsidR="000D337C" w:rsidRPr="00DB2BB1" w:rsidRDefault="000D337C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8DD5" w14:textId="77777777" w:rsidR="000D337C" w:rsidRPr="00DB2BB1" w:rsidRDefault="000D337C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0D337C" w:rsidRPr="00DB2BB1" w14:paraId="3688C540" w14:textId="77777777" w:rsidTr="00F31173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E6CE" w14:textId="77777777" w:rsidR="000D337C" w:rsidRPr="00DB2BB1" w:rsidRDefault="000D337C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54E9" w14:textId="77777777" w:rsidR="000D337C" w:rsidRPr="00DB2BB1" w:rsidRDefault="000D337C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5405" w14:textId="77777777" w:rsidR="000D337C" w:rsidRPr="00DB2BB1" w:rsidRDefault="000D337C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3ACD" w14:textId="77777777" w:rsidR="000D337C" w:rsidRPr="00DB2BB1" w:rsidRDefault="000D337C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565" w14:textId="77777777" w:rsidR="000D337C" w:rsidRPr="00DB2BB1" w:rsidRDefault="000D337C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0D337C" w:rsidRPr="00DB2BB1" w14:paraId="09EF69BD" w14:textId="77777777" w:rsidTr="00F31173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3EEC2" w14:textId="77777777" w:rsidR="000D337C" w:rsidRPr="00DB2BB1" w:rsidRDefault="000D337C" w:rsidP="00F311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B5F66" w14:textId="77777777" w:rsidR="000D337C" w:rsidRPr="00DB2BB1" w:rsidRDefault="000D337C" w:rsidP="00F311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77425" w14:textId="77777777" w:rsidR="000D337C" w:rsidRPr="00DB2BB1" w:rsidRDefault="000D337C" w:rsidP="00F311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PUNTAJE MAXIMO</w:t>
            </w:r>
          </w:p>
        </w:tc>
      </w:tr>
      <w:tr w:rsidR="000D337C" w:rsidRPr="00DB2BB1" w14:paraId="439D2C35" w14:textId="77777777" w:rsidTr="00F31173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83746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D5A6F" w14:textId="77777777" w:rsidR="000D337C" w:rsidRPr="00DB2BB1" w:rsidRDefault="000D337C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344A4" w14:textId="77777777" w:rsidR="000D337C" w:rsidRPr="00DB2BB1" w:rsidRDefault="000D337C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</w:tr>
      <w:tr w:rsidR="000D337C" w:rsidRPr="00DB2BB1" w14:paraId="3F280C08" w14:textId="77777777" w:rsidTr="00F31173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C4EB" w14:textId="77777777" w:rsidR="000D337C" w:rsidRPr="00DB2BB1" w:rsidRDefault="000D337C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5923" w14:textId="77777777" w:rsidR="000D337C" w:rsidRPr="00DB2BB1" w:rsidRDefault="000D337C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REQUISITOS MINIMO SOLICITADO</w:t>
            </w:r>
          </w:p>
          <w:p w14:paraId="547897F6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923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655A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D337C" w:rsidRPr="00DB2BB1" w14:paraId="094FA31E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25CAE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6DE2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584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E8E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D337C" w:rsidRPr="00DB2BB1" w14:paraId="26A5F652" w14:textId="77777777" w:rsidTr="00F31173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16E18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7166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385D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0740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D337C" w:rsidRPr="00DB2BB1" w14:paraId="72071A80" w14:textId="77777777" w:rsidTr="00F31173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79FC" w14:textId="77777777" w:rsidR="000D337C" w:rsidRPr="00DB2BB1" w:rsidRDefault="000D337C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3F9C5B" w14:textId="77777777" w:rsidR="000D337C" w:rsidRPr="00DB2BB1" w:rsidRDefault="000D337C" w:rsidP="00F311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070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9710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D337C" w:rsidRPr="00DB2BB1" w14:paraId="1937BFCD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08A9A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1F136" w14:textId="77777777" w:rsidR="000D337C" w:rsidRPr="00DB2BB1" w:rsidRDefault="000D337C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9874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934C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D337C" w:rsidRPr="00DB2BB1" w14:paraId="68347FDA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5D240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8C42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1</w:t>
            </w:r>
          </w:p>
          <w:p w14:paraId="6F54A3DA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745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0C52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D337C" w:rsidRPr="00DB2BB1" w14:paraId="0C898F6F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9B4C6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CF6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2</w:t>
            </w:r>
          </w:p>
          <w:p w14:paraId="2A81725B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CE3F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21C6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D337C" w:rsidRPr="00DB2BB1" w14:paraId="271ADC93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05B63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9212" w14:textId="77777777" w:rsidR="000D337C" w:rsidRPr="00DB2BB1" w:rsidRDefault="000D337C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3B7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81E4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D337C" w:rsidRPr="00DB2BB1" w14:paraId="2521F772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CB796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A92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1</w:t>
            </w:r>
          </w:p>
          <w:p w14:paraId="3DACEE27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2337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AEAC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D337C" w:rsidRPr="00DB2BB1" w14:paraId="49372A9F" w14:textId="77777777" w:rsidTr="00F31173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E86AA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EB7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2</w:t>
            </w:r>
          </w:p>
          <w:p w14:paraId="3B72BCD8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868E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D87D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D337C" w:rsidRPr="00DB2BB1" w14:paraId="3124AC95" w14:textId="77777777" w:rsidTr="00F31173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AEF39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5943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4D56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897" w14:textId="77777777" w:rsidR="000D337C" w:rsidRPr="00DB2BB1" w:rsidRDefault="000D337C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</w:tbl>
    <w:p w14:paraId="66FD9031" w14:textId="77777777" w:rsidR="000D337C" w:rsidRPr="00DB2BB1" w:rsidRDefault="000D337C" w:rsidP="000D337C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28918D41" w14:textId="77777777" w:rsidR="000D337C" w:rsidRPr="00DB2BB1" w:rsidRDefault="000D337C" w:rsidP="000D337C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72E4CE34" w14:textId="77777777" w:rsidR="000D337C" w:rsidRPr="00DB2BB1" w:rsidRDefault="000D337C" w:rsidP="000D337C">
      <w:pPr>
        <w:ind w:right="31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PE"/>
        </w:rPr>
      </w:pPr>
      <w:r w:rsidRPr="00DB2BB1">
        <w:rPr>
          <w:rFonts w:ascii="Arial" w:eastAsia="Times New Roman" w:hAnsi="Arial" w:cs="Arial"/>
          <w:bCs/>
          <w:color w:val="000000"/>
          <w:sz w:val="20"/>
          <w:szCs w:val="20"/>
          <w:lang w:val="es-PE"/>
        </w:rPr>
        <w:t xml:space="preserve">(*) Los criterios de la evaluación Curricular serán establecidos por la Oficina de Administración y Finanzas – Área de Recursos Humanos, en coordinación con el área usuaria. </w:t>
      </w:r>
    </w:p>
    <w:p w14:paraId="4EC787B1" w14:textId="77777777" w:rsidR="000D337C" w:rsidRPr="00DB2BB1" w:rsidRDefault="000D337C" w:rsidP="000D337C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57AD733B" w14:textId="77777777" w:rsidR="000D337C" w:rsidRPr="00DB2BB1" w:rsidRDefault="000D337C" w:rsidP="000D337C">
      <w:pPr>
        <w:ind w:right="31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342A87C9" w14:textId="77777777" w:rsidR="000D337C" w:rsidRPr="00DB2BB1" w:rsidRDefault="000D337C" w:rsidP="000D337C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427001FD" w14:textId="5EA7EC54" w:rsidR="000D337C" w:rsidRDefault="000D337C" w:rsidP="00656DE5">
      <w:pPr>
        <w:jc w:val="center"/>
        <w:rPr>
          <w:rFonts w:ascii="Arial" w:hAnsi="Arial" w:cs="Arial"/>
          <w:b/>
          <w:sz w:val="22"/>
          <w:szCs w:val="22"/>
        </w:rPr>
      </w:pPr>
    </w:p>
    <w:p w14:paraId="6B224933" w14:textId="1D5F1EF1" w:rsidR="000D337C" w:rsidRDefault="000D337C" w:rsidP="00656DE5">
      <w:pPr>
        <w:jc w:val="center"/>
        <w:rPr>
          <w:rFonts w:ascii="Arial" w:hAnsi="Arial" w:cs="Arial"/>
          <w:b/>
          <w:sz w:val="22"/>
          <w:szCs w:val="22"/>
        </w:rPr>
      </w:pPr>
    </w:p>
    <w:p w14:paraId="6532CF4D" w14:textId="6947AF50" w:rsidR="000D337C" w:rsidRDefault="000D337C" w:rsidP="00656DE5">
      <w:pPr>
        <w:jc w:val="center"/>
        <w:rPr>
          <w:rFonts w:ascii="Arial" w:hAnsi="Arial" w:cs="Arial"/>
          <w:b/>
          <w:sz w:val="22"/>
          <w:szCs w:val="22"/>
        </w:rPr>
      </w:pPr>
    </w:p>
    <w:p w14:paraId="7E1D70F1" w14:textId="4A82C86F" w:rsidR="000D337C" w:rsidRDefault="000D337C" w:rsidP="00656DE5">
      <w:pPr>
        <w:jc w:val="center"/>
        <w:rPr>
          <w:rFonts w:ascii="Arial" w:hAnsi="Arial" w:cs="Arial"/>
          <w:b/>
          <w:sz w:val="22"/>
          <w:szCs w:val="22"/>
        </w:rPr>
      </w:pPr>
    </w:p>
    <w:p w14:paraId="16501FF8" w14:textId="1AE7382D" w:rsidR="000D337C" w:rsidRDefault="000D337C" w:rsidP="00656DE5">
      <w:pPr>
        <w:jc w:val="center"/>
        <w:rPr>
          <w:rFonts w:ascii="Arial" w:hAnsi="Arial" w:cs="Arial"/>
          <w:b/>
          <w:sz w:val="22"/>
          <w:szCs w:val="22"/>
        </w:rPr>
      </w:pPr>
    </w:p>
    <w:p w14:paraId="3362C9F9" w14:textId="6FEB3510" w:rsidR="000D337C" w:rsidRDefault="000D337C" w:rsidP="00656DE5">
      <w:pPr>
        <w:jc w:val="center"/>
        <w:rPr>
          <w:rFonts w:ascii="Arial" w:hAnsi="Arial" w:cs="Arial"/>
          <w:b/>
          <w:sz w:val="22"/>
          <w:szCs w:val="22"/>
        </w:rPr>
      </w:pPr>
    </w:p>
    <w:p w14:paraId="2D5F9E53" w14:textId="4849A534" w:rsidR="000D337C" w:rsidRDefault="000D337C" w:rsidP="00656DE5">
      <w:pPr>
        <w:jc w:val="center"/>
        <w:rPr>
          <w:rFonts w:ascii="Arial" w:hAnsi="Arial" w:cs="Arial"/>
          <w:b/>
          <w:sz w:val="22"/>
          <w:szCs w:val="22"/>
        </w:rPr>
      </w:pPr>
    </w:p>
    <w:p w14:paraId="4C538791" w14:textId="3B84B10C" w:rsidR="000D337C" w:rsidRDefault="000D337C" w:rsidP="00656DE5">
      <w:pPr>
        <w:jc w:val="center"/>
        <w:rPr>
          <w:rFonts w:ascii="Arial" w:hAnsi="Arial" w:cs="Arial"/>
          <w:b/>
          <w:sz w:val="22"/>
          <w:szCs w:val="22"/>
        </w:rPr>
      </w:pPr>
    </w:p>
    <w:p w14:paraId="6C88FE5C" w14:textId="5E9309EE" w:rsidR="000D337C" w:rsidRDefault="000D337C" w:rsidP="00656DE5">
      <w:pPr>
        <w:jc w:val="center"/>
        <w:rPr>
          <w:rFonts w:ascii="Arial" w:hAnsi="Arial" w:cs="Arial"/>
          <w:b/>
          <w:sz w:val="22"/>
          <w:szCs w:val="22"/>
        </w:rPr>
      </w:pPr>
    </w:p>
    <w:p w14:paraId="49F0C8B3" w14:textId="77777777" w:rsidR="000D337C" w:rsidRDefault="000D337C" w:rsidP="00656DE5">
      <w:pPr>
        <w:jc w:val="center"/>
        <w:rPr>
          <w:rFonts w:ascii="Arial" w:hAnsi="Arial" w:cs="Arial"/>
          <w:b/>
          <w:sz w:val="22"/>
          <w:szCs w:val="22"/>
        </w:rPr>
      </w:pPr>
    </w:p>
    <w:p w14:paraId="178FA113" w14:textId="4211DD9F" w:rsidR="00656DE5" w:rsidRPr="00017E78" w:rsidRDefault="00656DE5" w:rsidP="00656DE5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lastRenderedPageBreak/>
        <w:t>ANEXO N° 05</w:t>
      </w:r>
    </w:p>
    <w:p w14:paraId="7C232759" w14:textId="77777777" w:rsidR="00656DE5" w:rsidRPr="00017E78" w:rsidRDefault="00656DE5" w:rsidP="00656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A96C2D" w14:textId="77777777" w:rsidR="00656DE5" w:rsidRPr="00017E78" w:rsidRDefault="00656DE5" w:rsidP="00656DE5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REQUISITOS DEL PERFIL DE PUESTO</w:t>
      </w:r>
    </w:p>
    <w:p w14:paraId="5DA7FB4C" w14:textId="77777777" w:rsidR="00656DE5" w:rsidRPr="00017E78" w:rsidRDefault="00656DE5" w:rsidP="00656DE5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PARA CONTRATACIÓN ADMINISTRATIVA DE SERVICIOS</w:t>
      </w:r>
    </w:p>
    <w:p w14:paraId="106083AE" w14:textId="77777777" w:rsidR="00656DE5" w:rsidRPr="00017E78" w:rsidRDefault="00656DE5" w:rsidP="00656DE5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61A8615B" w14:textId="77777777" w:rsidR="00656DE5" w:rsidRPr="00F428E3" w:rsidRDefault="00656DE5" w:rsidP="00F428E3">
      <w:pPr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B45E6">
        <w:rPr>
          <w:rFonts w:ascii="Arial" w:hAnsi="Arial" w:cs="Arial"/>
          <w:b/>
          <w:bCs/>
          <w:iCs/>
          <w:sz w:val="22"/>
          <w:szCs w:val="22"/>
        </w:rPr>
        <w:t xml:space="preserve">DEPENDENCIA: </w:t>
      </w: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428E3">
        <w:rPr>
          <w:rFonts w:ascii="Arial" w:hAnsi="Arial" w:cs="Arial"/>
          <w:b/>
          <w:bCs/>
          <w:iCs/>
          <w:sz w:val="22"/>
          <w:szCs w:val="22"/>
        </w:rPr>
        <w:t>Oficina de Planeamiento, Presupuesto y Seguimiento</w:t>
      </w:r>
      <w:r w:rsidRPr="008B45E6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13ABD447" w14:textId="77777777" w:rsidR="00656DE5" w:rsidRPr="008B45E6" w:rsidRDefault="00656DE5" w:rsidP="00857DF5">
      <w:pPr>
        <w:numPr>
          <w:ilvl w:val="0"/>
          <w:numId w:val="39"/>
        </w:numPr>
        <w:spacing w:after="160" w:line="259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8B45E6">
        <w:rPr>
          <w:rFonts w:ascii="Arial" w:hAnsi="Arial" w:cs="Arial"/>
          <w:b/>
          <w:bCs/>
          <w:iCs/>
          <w:sz w:val="22"/>
          <w:szCs w:val="22"/>
        </w:rPr>
        <w:t xml:space="preserve">OBJETO: </w:t>
      </w:r>
      <w:r w:rsidRPr="00CB4039">
        <w:rPr>
          <w:rFonts w:ascii="Arial" w:hAnsi="Arial" w:cs="Arial"/>
          <w:bCs/>
          <w:iCs/>
          <w:sz w:val="20"/>
          <w:szCs w:val="20"/>
        </w:rPr>
        <w:t>Contratar los servicios de UN (01) Profesional en Gestión de Presupuesto</w:t>
      </w:r>
      <w:r w:rsidRPr="008B45E6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1FB50B4" w14:textId="77777777" w:rsidR="00656DE5" w:rsidRDefault="00656DE5" w:rsidP="00857DF5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BASE LEGAL:</w:t>
      </w:r>
    </w:p>
    <w:p w14:paraId="6153E9F9" w14:textId="77777777" w:rsidR="00656DE5" w:rsidRPr="00CB4039" w:rsidRDefault="00656DE5" w:rsidP="00857DF5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>Decreto Legislativo N° 1057 "Regula el Régimen Especial de Contratación Administrativa de Servicios".</w:t>
      </w:r>
    </w:p>
    <w:p w14:paraId="6B43D477" w14:textId="77777777" w:rsidR="00656DE5" w:rsidRPr="00CB4039" w:rsidRDefault="00656DE5" w:rsidP="00857DF5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>Reglamento del Decreto Legislativo N° 1057 que regula el Régimen Especial de Contratación Administrativa de Servicios.</w:t>
      </w:r>
    </w:p>
    <w:p w14:paraId="243ABF5C" w14:textId="77777777" w:rsidR="00656DE5" w:rsidRPr="00CB4039" w:rsidRDefault="00656DE5" w:rsidP="00857DF5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>Decreto Supremo N° 075-2008-PCM, modificado por Decreto Supremo N° 065-2011-PCM.</w:t>
      </w:r>
    </w:p>
    <w:p w14:paraId="7CCBF613" w14:textId="77777777" w:rsidR="00656DE5" w:rsidRPr="00CB4039" w:rsidRDefault="00656DE5" w:rsidP="00857DF5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>Decreto Supremo N° 008-2014-MINAGRI – Reglamento de Organización y Funciones del Ministerio de Agricultura y Riego y modificatorias.</w:t>
      </w:r>
    </w:p>
    <w:p w14:paraId="37AC25F2" w14:textId="77777777" w:rsidR="00656DE5" w:rsidRPr="00CB4039" w:rsidRDefault="00656DE5" w:rsidP="00857DF5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 xml:space="preserve">Directiva General N° 001-2019-MINAGRI “Directiva para el Proceso de Selección y Vinculación de Personal bajo el Régimen Laboral Especial de Contratación Administrativa e Servicios – CAS” aprobada por Resolución de Secretaría General N°0024-2019-MINAGRI SG </w:t>
      </w:r>
    </w:p>
    <w:p w14:paraId="62389618" w14:textId="77777777" w:rsidR="00656DE5" w:rsidRPr="00CB4039" w:rsidRDefault="00656DE5" w:rsidP="00857DF5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2FE3071D" w14:textId="77777777" w:rsidR="00656DE5" w:rsidRPr="008D4416" w:rsidRDefault="00656DE5" w:rsidP="00656DE5">
      <w:pPr>
        <w:ind w:left="1075"/>
        <w:contextualSpacing/>
        <w:jc w:val="both"/>
        <w:textAlignment w:val="baseline"/>
        <w:rPr>
          <w:rFonts w:ascii="Arial" w:eastAsia="Tahoma" w:hAnsi="Arial" w:cs="Arial"/>
          <w:sz w:val="22"/>
          <w:szCs w:val="22"/>
          <w:lang w:eastAsia="en-US"/>
        </w:rPr>
      </w:pPr>
    </w:p>
    <w:p w14:paraId="3394A8B2" w14:textId="77777777" w:rsidR="00656DE5" w:rsidRPr="00017E78" w:rsidRDefault="00656DE5" w:rsidP="00857DF5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CARACTERISTICAS DEL PUESTO Y/O CARGO:</w:t>
      </w:r>
    </w:p>
    <w:p w14:paraId="6918813D" w14:textId="77777777" w:rsidR="00656DE5" w:rsidRPr="00CB4039" w:rsidRDefault="00656DE5" w:rsidP="00656DE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>Registro y tramite de las certificaciones de crédito presupuestario de las Unidades Orgánicas.</w:t>
      </w:r>
    </w:p>
    <w:p w14:paraId="6C22F36C" w14:textId="77777777" w:rsidR="00656DE5" w:rsidRPr="00CB4039" w:rsidRDefault="00656DE5" w:rsidP="00656DE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>Proponer las modificaciones presupuestarias a nivel funcional programático necesarias de APNOP.</w:t>
      </w:r>
    </w:p>
    <w:p w14:paraId="13E17684" w14:textId="77777777" w:rsidR="00656DE5" w:rsidRPr="00CB4039" w:rsidRDefault="00656DE5" w:rsidP="00656DE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 xml:space="preserve">Revisar y gestionar las propuestas de reasignaciones propuestas por las áreas técnicas. </w:t>
      </w:r>
    </w:p>
    <w:p w14:paraId="4B8C583B" w14:textId="77777777" w:rsidR="00656DE5" w:rsidRPr="00CB4039" w:rsidRDefault="00656DE5" w:rsidP="00656DE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>Formular el proyecto de Presupuesto Institucional, consolidando los objetivos institucionales de corto plazo.</w:t>
      </w:r>
    </w:p>
    <w:p w14:paraId="6221A4B3" w14:textId="77777777" w:rsidR="00656DE5" w:rsidRPr="00CB4039" w:rsidRDefault="00656DE5" w:rsidP="00656DE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>Emitir informes de disponibilidad presupuestaria.</w:t>
      </w:r>
    </w:p>
    <w:p w14:paraId="3FB85BFE" w14:textId="77777777" w:rsidR="00656DE5" w:rsidRPr="00CB4039" w:rsidRDefault="00656DE5" w:rsidP="00656DE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>Apoyar al Ejecutivo de Gestión Presupuestal en la evaluación presupuestal, semestral y anual.</w:t>
      </w:r>
    </w:p>
    <w:p w14:paraId="1EADE782" w14:textId="77777777" w:rsidR="00656DE5" w:rsidRPr="00CB4039" w:rsidRDefault="00656DE5" w:rsidP="00656DE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>Asistencia técnica a las Unidades Orgánicas, relativas al marco y disponibilidad presupuestal.</w:t>
      </w:r>
    </w:p>
    <w:p w14:paraId="10971D9A" w14:textId="77777777" w:rsidR="00656DE5" w:rsidRPr="00CB4039" w:rsidRDefault="00656DE5" w:rsidP="00656DE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>Coordinar los informes técnicos relacionados a dispositivos legales sobre las transferencias de partidas y crédito suplementario para su trámite correspondiente.</w:t>
      </w:r>
    </w:p>
    <w:p w14:paraId="10575957" w14:textId="77777777" w:rsidR="00656DE5" w:rsidRPr="00CB4039" w:rsidRDefault="00656DE5" w:rsidP="00656DE5">
      <w:pPr>
        <w:numPr>
          <w:ilvl w:val="0"/>
          <w:numId w:val="38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CB4039">
        <w:rPr>
          <w:rFonts w:ascii="Arial" w:hAnsi="Arial" w:cs="Arial"/>
          <w:sz w:val="20"/>
          <w:szCs w:val="20"/>
        </w:rPr>
        <w:t xml:space="preserve">  Otras Actividades relacionadas con el puesto.</w:t>
      </w:r>
    </w:p>
    <w:p w14:paraId="020B2185" w14:textId="77777777" w:rsidR="00656DE5" w:rsidRDefault="00656DE5" w:rsidP="00656DE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0011A6AA" w14:textId="77777777" w:rsidR="00656DE5" w:rsidRDefault="00656DE5" w:rsidP="00656DE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403375D7" w14:textId="77777777" w:rsidR="00656DE5" w:rsidRDefault="00656DE5" w:rsidP="00656DE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113C9EC8" w14:textId="57BA2974" w:rsidR="00656DE5" w:rsidRDefault="00656DE5" w:rsidP="00656DE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1BD51D50" w14:textId="59D23531" w:rsidR="00F54D68" w:rsidRDefault="00F54D68" w:rsidP="00656DE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704F7C4E" w14:textId="34609E91" w:rsidR="00F54D68" w:rsidRDefault="00F54D68" w:rsidP="00656DE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79AFFF9B" w14:textId="6FEDE2D4" w:rsidR="00F54D68" w:rsidRDefault="00F54D68" w:rsidP="00656DE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1423D33B" w14:textId="3D6B4DC8" w:rsidR="00F54D68" w:rsidRDefault="00F54D68" w:rsidP="00656DE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5893D935" w14:textId="77777777" w:rsidR="00F54D68" w:rsidRPr="00017E78" w:rsidRDefault="00F54D68" w:rsidP="00656DE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5DA413DB" w14:textId="77777777" w:rsidR="00656DE5" w:rsidRPr="00017E78" w:rsidRDefault="00656DE5" w:rsidP="00656DE5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7A9A910C" w14:textId="77777777" w:rsidR="00656DE5" w:rsidRPr="00017E78" w:rsidRDefault="00656DE5" w:rsidP="00857DF5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lastRenderedPageBreak/>
        <w:t>PERFIL DEL PUESTO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168"/>
      </w:tblGrid>
      <w:tr w:rsidR="00656DE5" w:rsidRPr="00017E78" w14:paraId="344623F2" w14:textId="77777777" w:rsidTr="00611D47">
        <w:trPr>
          <w:trHeight w:val="417"/>
          <w:jc w:val="center"/>
        </w:trPr>
        <w:tc>
          <w:tcPr>
            <w:tcW w:w="2920" w:type="dxa"/>
            <w:shd w:val="pct12" w:color="auto" w:fill="auto"/>
            <w:vAlign w:val="center"/>
          </w:tcPr>
          <w:p w14:paraId="16BB670F" w14:textId="77777777" w:rsidR="00656DE5" w:rsidRPr="00017E78" w:rsidRDefault="00656DE5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168" w:type="dxa"/>
            <w:shd w:val="pct12" w:color="auto" w:fill="auto"/>
            <w:vAlign w:val="center"/>
          </w:tcPr>
          <w:p w14:paraId="2E6D5AEE" w14:textId="77777777" w:rsidR="00656DE5" w:rsidRPr="00017E78" w:rsidRDefault="00656DE5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656DE5" w:rsidRPr="00017E78" w14:paraId="5865DC3A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01DDB955" w14:textId="77777777" w:rsidR="00656DE5" w:rsidRPr="00F54D68" w:rsidRDefault="00656DE5" w:rsidP="00611D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D68">
              <w:rPr>
                <w:rFonts w:ascii="Arial" w:hAnsi="Arial" w:cs="Arial"/>
                <w:color w:val="000000"/>
                <w:sz w:val="20"/>
                <w:szCs w:val="20"/>
              </w:rPr>
              <w:t>Experiencia</w:t>
            </w:r>
          </w:p>
        </w:tc>
        <w:tc>
          <w:tcPr>
            <w:tcW w:w="5168" w:type="dxa"/>
            <w:shd w:val="clear" w:color="auto" w:fill="auto"/>
          </w:tcPr>
          <w:p w14:paraId="321BB11F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Experiencia laboral no menor de cinco (5) años en Instituciones Públicas y/o Privadas. </w:t>
            </w:r>
          </w:p>
          <w:p w14:paraId="6B66B16D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Experiencia requerida para el puesto tres (3) años en la función o la materia.</w:t>
            </w:r>
          </w:p>
          <w:p w14:paraId="5DB19829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Experiencia de dos (02) años en el sector público en puestos similares en el área de Planeamiento y Presupuesto.</w:t>
            </w:r>
          </w:p>
          <w:p w14:paraId="01273696" w14:textId="77777777" w:rsidR="00656DE5" w:rsidRPr="00F54D68" w:rsidRDefault="00656DE5" w:rsidP="00611D47">
            <w:pPr>
              <w:tabs>
                <w:tab w:val="left" w:pos="355"/>
              </w:tabs>
              <w:ind w:left="355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56DE5" w:rsidRPr="00017E78" w14:paraId="660D0C70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56BE7EB4" w14:textId="77777777" w:rsidR="00656DE5" w:rsidRPr="00F54D68" w:rsidRDefault="00656DE5" w:rsidP="00611D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D68">
              <w:rPr>
                <w:rFonts w:ascii="Arial" w:hAnsi="Arial" w:cs="Arial"/>
                <w:sz w:val="20"/>
                <w:szCs w:val="20"/>
              </w:rPr>
              <w:t>Competencias</w:t>
            </w:r>
          </w:p>
        </w:tc>
        <w:tc>
          <w:tcPr>
            <w:tcW w:w="5168" w:type="dxa"/>
            <w:shd w:val="clear" w:color="auto" w:fill="auto"/>
          </w:tcPr>
          <w:p w14:paraId="650F9854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E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Orientación hacia resultados.</w:t>
            </w:r>
          </w:p>
          <w:p w14:paraId="2253BFA9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Capacidad de Gestión</w:t>
            </w:r>
          </w:p>
          <w:p w14:paraId="01EC7484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Trabajo en equipo y organización.</w:t>
            </w:r>
          </w:p>
          <w:p w14:paraId="673E8F51" w14:textId="77777777" w:rsidR="00656DE5" w:rsidRPr="0017739A" w:rsidRDefault="00656DE5" w:rsidP="0017739A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3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Proactividad.</w:t>
            </w:r>
          </w:p>
        </w:tc>
      </w:tr>
      <w:tr w:rsidR="00656DE5" w:rsidRPr="00017E78" w14:paraId="60D05334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1DA318C1" w14:textId="77777777" w:rsidR="00656DE5" w:rsidRPr="00F54D68" w:rsidRDefault="00656DE5" w:rsidP="00611D47">
            <w:pPr>
              <w:rPr>
                <w:rFonts w:ascii="Arial" w:hAnsi="Arial" w:cs="Arial"/>
                <w:sz w:val="20"/>
                <w:szCs w:val="20"/>
              </w:rPr>
            </w:pPr>
            <w:r w:rsidRPr="00F54D68">
              <w:rPr>
                <w:rFonts w:ascii="Arial" w:hAnsi="Arial" w:cs="Arial"/>
                <w:sz w:val="20"/>
                <w:szCs w:val="20"/>
              </w:rPr>
              <w:t xml:space="preserve">Formación Académica, grado académico y/o nivel de estudios 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14F96574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Título de Administración, Economista o Contador </w:t>
            </w:r>
          </w:p>
          <w:p w14:paraId="3EB5D59A" w14:textId="08EF025A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Colegiado.</w:t>
            </w:r>
          </w:p>
        </w:tc>
      </w:tr>
      <w:tr w:rsidR="00656DE5" w:rsidRPr="00017E78" w14:paraId="20A744DF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3314DF10" w14:textId="77777777" w:rsidR="00656DE5" w:rsidRPr="00F54D68" w:rsidRDefault="00656DE5" w:rsidP="0017739A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Cursos y/o estudios de especialización</w:t>
            </w:r>
          </w:p>
        </w:tc>
        <w:tc>
          <w:tcPr>
            <w:tcW w:w="5168" w:type="dxa"/>
            <w:shd w:val="clear" w:color="auto" w:fill="auto"/>
          </w:tcPr>
          <w:p w14:paraId="42BE353D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Sistema Nacional de Presupuesto Público.</w:t>
            </w:r>
          </w:p>
          <w:p w14:paraId="160D497E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Sistemas de Control.</w:t>
            </w:r>
          </w:p>
          <w:p w14:paraId="16C92292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Ley de Contrataciones del Estado y su Reglamento.</w:t>
            </w:r>
          </w:p>
          <w:p w14:paraId="3D3FEC91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Presupuesto por Resultado.</w:t>
            </w:r>
          </w:p>
          <w:p w14:paraId="586352FC" w14:textId="77777777" w:rsidR="00656DE5" w:rsidRPr="00F54D68" w:rsidRDefault="00656DE5" w:rsidP="00656DE5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ind w:left="355" w:hanging="283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54D68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Invierte pe.</w:t>
            </w:r>
          </w:p>
          <w:p w14:paraId="7573855B" w14:textId="77777777" w:rsidR="00656DE5" w:rsidRPr="00F54D68" w:rsidRDefault="00656DE5" w:rsidP="00656DE5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ind w:left="355" w:hanging="283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54D68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 Maestría concluida en Gestión Pública.</w:t>
            </w:r>
          </w:p>
          <w:p w14:paraId="6BCFDEE7" w14:textId="77777777" w:rsidR="00656DE5" w:rsidRPr="00F54D68" w:rsidRDefault="00656DE5" w:rsidP="00656DE5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ind w:left="355" w:hanging="283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54D68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Informática Avanzada.    </w:t>
            </w:r>
          </w:p>
        </w:tc>
      </w:tr>
      <w:tr w:rsidR="00656DE5" w:rsidRPr="00017E78" w14:paraId="72D2A3B9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4C09E9B7" w14:textId="77777777" w:rsidR="00656DE5" w:rsidRPr="00F54D68" w:rsidRDefault="00656DE5" w:rsidP="00611D47">
            <w:pPr>
              <w:rPr>
                <w:rFonts w:ascii="Arial" w:hAnsi="Arial" w:cs="Arial"/>
                <w:sz w:val="20"/>
                <w:szCs w:val="20"/>
              </w:rPr>
            </w:pPr>
            <w:r w:rsidRPr="00F54D68">
              <w:rPr>
                <w:rFonts w:ascii="Arial" w:hAnsi="Arial" w:cs="Arial"/>
                <w:sz w:val="20"/>
                <w:szCs w:val="20"/>
              </w:rPr>
              <w:t>Conocimientos para el puesto y/o cargo.</w:t>
            </w:r>
          </w:p>
        </w:tc>
        <w:tc>
          <w:tcPr>
            <w:tcW w:w="5168" w:type="dxa"/>
            <w:shd w:val="clear" w:color="auto" w:fill="auto"/>
          </w:tcPr>
          <w:p w14:paraId="3357EEFE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es-PE"/>
              </w:rPr>
            </w:pPr>
            <w:r w:rsidRPr="00F54D6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Conocimiento y manejo del Sistema Integrado de Administración Financiera – SIAF. </w:t>
            </w:r>
          </w:p>
          <w:p w14:paraId="4F785420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es-PE"/>
              </w:rPr>
            </w:pPr>
            <w:r w:rsidRPr="00F54D68">
              <w:rPr>
                <w:rFonts w:ascii="Calibri" w:hAnsi="Calibri" w:cs="Arial"/>
                <w:color w:val="000000"/>
                <w:sz w:val="20"/>
                <w:szCs w:val="20"/>
              </w:rPr>
              <w:t>Modulo Administrativo, Presupuestal y modulo WEB.</w:t>
            </w:r>
          </w:p>
          <w:p w14:paraId="56401EE6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es-PE"/>
              </w:rPr>
            </w:pPr>
            <w:r w:rsidRPr="00F54D68">
              <w:rPr>
                <w:rFonts w:ascii="Calibri" w:hAnsi="Calibri" w:cs="Arial"/>
                <w:color w:val="000000"/>
                <w:sz w:val="20"/>
                <w:szCs w:val="20"/>
                <w:lang w:val="es-PE"/>
              </w:rPr>
              <w:t>Conocimiento y manejo del aplicativo de inversiones.</w:t>
            </w:r>
          </w:p>
          <w:p w14:paraId="74EE3E22" w14:textId="77777777" w:rsidR="00656DE5" w:rsidRPr="00F54D68" w:rsidRDefault="00656DE5" w:rsidP="00656DE5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4D68">
              <w:rPr>
                <w:rFonts w:ascii="Calibri" w:hAnsi="Calibri" w:cs="Arial"/>
                <w:color w:val="000000"/>
                <w:sz w:val="20"/>
                <w:szCs w:val="20"/>
              </w:rPr>
              <w:t>Presupuesto Público.</w:t>
            </w:r>
          </w:p>
        </w:tc>
      </w:tr>
    </w:tbl>
    <w:p w14:paraId="15DFD656" w14:textId="77777777" w:rsidR="00656DE5" w:rsidRDefault="00656DE5" w:rsidP="00656DE5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472E6AE6" w14:textId="77777777" w:rsidR="00656DE5" w:rsidRPr="00017E78" w:rsidRDefault="00656DE5" w:rsidP="00656DE5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AC7C23C" w14:textId="77777777" w:rsidR="00656DE5" w:rsidRPr="00017E78" w:rsidRDefault="00656DE5" w:rsidP="00857DF5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CONDICIONES ESENCIALES DEL CONTRATO</w:t>
      </w:r>
    </w:p>
    <w:tbl>
      <w:tblPr>
        <w:tblpPr w:leftFromText="141" w:rightFromText="141" w:vertAnchor="text" w:horzAnchor="margin" w:tblpX="214" w:tblpY="166"/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5128"/>
      </w:tblGrid>
      <w:tr w:rsidR="00656DE5" w:rsidRPr="00017E78" w14:paraId="3E368624" w14:textId="77777777" w:rsidTr="00611D47">
        <w:trPr>
          <w:trHeight w:val="315"/>
        </w:trPr>
        <w:tc>
          <w:tcPr>
            <w:tcW w:w="3063" w:type="dxa"/>
            <w:shd w:val="clear" w:color="auto" w:fill="D9D9D9"/>
            <w:vAlign w:val="center"/>
          </w:tcPr>
          <w:p w14:paraId="3C7358FB" w14:textId="77777777" w:rsidR="00656DE5" w:rsidRPr="00017E78" w:rsidRDefault="00656DE5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128" w:type="dxa"/>
            <w:shd w:val="clear" w:color="auto" w:fill="D9D9D9"/>
            <w:vAlign w:val="center"/>
          </w:tcPr>
          <w:p w14:paraId="30295F37" w14:textId="77777777" w:rsidR="00656DE5" w:rsidRPr="00017E78" w:rsidRDefault="00656DE5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656DE5" w:rsidRPr="00017E78" w14:paraId="310B004D" w14:textId="77777777" w:rsidTr="00611D47">
        <w:trPr>
          <w:trHeight w:val="178"/>
        </w:trPr>
        <w:tc>
          <w:tcPr>
            <w:tcW w:w="3063" w:type="dxa"/>
            <w:shd w:val="clear" w:color="auto" w:fill="auto"/>
            <w:vAlign w:val="center"/>
          </w:tcPr>
          <w:p w14:paraId="4CC4DFA8" w14:textId="77777777" w:rsidR="00656DE5" w:rsidRPr="00F54D68" w:rsidRDefault="00656DE5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D68">
              <w:rPr>
                <w:rFonts w:ascii="Arial" w:hAnsi="Arial" w:cs="Arial"/>
                <w:bCs/>
                <w:iCs/>
                <w:sz w:val="20"/>
                <w:szCs w:val="20"/>
              </w:rPr>
              <w:t>Lugar de prestación del</w:t>
            </w:r>
          </w:p>
          <w:p w14:paraId="37C4FBEF" w14:textId="77777777" w:rsidR="00656DE5" w:rsidRPr="00F54D68" w:rsidRDefault="00656DE5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D6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servicio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1B01D9BE" w14:textId="77777777" w:rsidR="00656DE5" w:rsidRPr="00F54D68" w:rsidRDefault="00656DE5" w:rsidP="00611D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Oficina de Planeamiento, Presupuesto y Seguimiento – Sede Central-PSI</w:t>
            </w:r>
          </w:p>
        </w:tc>
      </w:tr>
      <w:tr w:rsidR="00656DE5" w:rsidRPr="00017E78" w14:paraId="6C4B3FDA" w14:textId="77777777" w:rsidTr="00611D47">
        <w:trPr>
          <w:trHeight w:val="396"/>
        </w:trPr>
        <w:tc>
          <w:tcPr>
            <w:tcW w:w="3063" w:type="dxa"/>
            <w:shd w:val="clear" w:color="auto" w:fill="auto"/>
            <w:vAlign w:val="center"/>
          </w:tcPr>
          <w:p w14:paraId="0E175F3F" w14:textId="77777777" w:rsidR="00656DE5" w:rsidRPr="00F54D68" w:rsidRDefault="00656DE5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D6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Duración del contrato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31AD9C20" w14:textId="77777777" w:rsidR="00656DE5" w:rsidRPr="00F54D68" w:rsidRDefault="00656DE5" w:rsidP="00611D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Tres (03) meses </w:t>
            </w:r>
          </w:p>
        </w:tc>
      </w:tr>
      <w:tr w:rsidR="00656DE5" w:rsidRPr="00017E78" w14:paraId="7D550B24" w14:textId="77777777" w:rsidTr="00611D47">
        <w:trPr>
          <w:trHeight w:val="525"/>
        </w:trPr>
        <w:tc>
          <w:tcPr>
            <w:tcW w:w="3063" w:type="dxa"/>
            <w:shd w:val="clear" w:color="auto" w:fill="auto"/>
            <w:vAlign w:val="center"/>
          </w:tcPr>
          <w:p w14:paraId="1DDD924C" w14:textId="77777777" w:rsidR="00656DE5" w:rsidRPr="00F54D68" w:rsidRDefault="00656DE5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D6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Remuneración mensual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58422A13" w14:textId="77777777" w:rsidR="00656DE5" w:rsidRPr="00F54D68" w:rsidRDefault="00656DE5" w:rsidP="00611D47">
            <w:pPr>
              <w:ind w:left="6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D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S/. 9,000.00 (Nueve Mil y 00/100 Soles). Incluyen todos los montos y afiliaciones de ley, así como toda deducción aplicable al trabajador</w:t>
            </w:r>
          </w:p>
        </w:tc>
      </w:tr>
    </w:tbl>
    <w:p w14:paraId="2549E94B" w14:textId="140A850A" w:rsidR="00030939" w:rsidRPr="00224719" w:rsidRDefault="00030939" w:rsidP="00656DE5">
      <w:pPr>
        <w:rPr>
          <w:rFonts w:ascii="Arial" w:hAnsi="Arial" w:cs="Arial"/>
          <w:sz w:val="22"/>
          <w:szCs w:val="22"/>
        </w:rPr>
      </w:pPr>
    </w:p>
    <w:sectPr w:rsidR="00030939" w:rsidRPr="00224719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47F1" w14:textId="77777777" w:rsidR="003E203F" w:rsidRDefault="003E203F" w:rsidP="00FD6F46">
      <w:r>
        <w:separator/>
      </w:r>
    </w:p>
  </w:endnote>
  <w:endnote w:type="continuationSeparator" w:id="0">
    <w:p w14:paraId="5E46C77B" w14:textId="77777777" w:rsidR="003E203F" w:rsidRDefault="003E203F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09" w:rsidRPr="00C30A09">
          <w:rPr>
            <w:noProof/>
            <w:lang w:val="es-ES"/>
          </w:rPr>
          <w:t>11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0C56" w14:textId="77777777" w:rsidR="003E203F" w:rsidRDefault="003E203F" w:rsidP="00FD6F46">
      <w:r>
        <w:separator/>
      </w:r>
    </w:p>
  </w:footnote>
  <w:footnote w:type="continuationSeparator" w:id="0">
    <w:p w14:paraId="6666F378" w14:textId="77777777" w:rsidR="003E203F" w:rsidRDefault="003E203F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 w15:restartNumberingAfterBreak="0">
    <w:nsid w:val="126B480F"/>
    <w:multiLevelType w:val="hybridMultilevel"/>
    <w:tmpl w:val="7BB68FE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191F6677"/>
    <w:multiLevelType w:val="hybridMultilevel"/>
    <w:tmpl w:val="6600A590"/>
    <w:lvl w:ilvl="0" w:tplc="911C7104">
      <w:start w:val="1"/>
      <w:numFmt w:val="upperRoman"/>
      <w:lvlText w:val="%1."/>
      <w:lvlJc w:val="left"/>
      <w:pPr>
        <w:ind w:left="62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B5D95"/>
    <w:multiLevelType w:val="hybridMultilevel"/>
    <w:tmpl w:val="B89AA4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7573FCA"/>
    <w:multiLevelType w:val="hybridMultilevel"/>
    <w:tmpl w:val="CCBA8844"/>
    <w:lvl w:ilvl="0" w:tplc="280A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F5303"/>
    <w:multiLevelType w:val="hybridMultilevel"/>
    <w:tmpl w:val="C7CC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53E02"/>
    <w:multiLevelType w:val="hybridMultilevel"/>
    <w:tmpl w:val="372CEA08"/>
    <w:lvl w:ilvl="0" w:tplc="280A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04887"/>
    <w:multiLevelType w:val="hybridMultilevel"/>
    <w:tmpl w:val="6F348092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4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6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5227CE"/>
    <w:multiLevelType w:val="hybridMultilevel"/>
    <w:tmpl w:val="9F2E282E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34"/>
  </w:num>
  <w:num w:numId="3">
    <w:abstractNumId w:val="36"/>
  </w:num>
  <w:num w:numId="4">
    <w:abstractNumId w:val="37"/>
  </w:num>
  <w:num w:numId="5">
    <w:abstractNumId w:val="3"/>
  </w:num>
  <w:num w:numId="6">
    <w:abstractNumId w:val="21"/>
  </w:num>
  <w:num w:numId="7">
    <w:abstractNumId w:val="29"/>
  </w:num>
  <w:num w:numId="8">
    <w:abstractNumId w:val="15"/>
  </w:num>
  <w:num w:numId="9">
    <w:abstractNumId w:val="5"/>
  </w:num>
  <w:num w:numId="10">
    <w:abstractNumId w:val="0"/>
  </w:num>
  <w:num w:numId="11">
    <w:abstractNumId w:val="35"/>
  </w:num>
  <w:num w:numId="12">
    <w:abstractNumId w:val="23"/>
  </w:num>
  <w:num w:numId="13">
    <w:abstractNumId w:val="14"/>
  </w:num>
  <w:num w:numId="14">
    <w:abstractNumId w:val="12"/>
  </w:num>
  <w:num w:numId="15">
    <w:abstractNumId w:val="4"/>
  </w:num>
  <w:num w:numId="16">
    <w:abstractNumId w:val="24"/>
  </w:num>
  <w:num w:numId="17">
    <w:abstractNumId w:val="39"/>
  </w:num>
  <w:num w:numId="18">
    <w:abstractNumId w:val="28"/>
  </w:num>
  <w:num w:numId="19">
    <w:abstractNumId w:val="7"/>
  </w:num>
  <w:num w:numId="20">
    <w:abstractNumId w:val="31"/>
  </w:num>
  <w:num w:numId="21">
    <w:abstractNumId w:val="20"/>
  </w:num>
  <w:num w:numId="22">
    <w:abstractNumId w:val="17"/>
  </w:num>
  <w:num w:numId="23">
    <w:abstractNumId w:val="25"/>
  </w:num>
  <w:num w:numId="24">
    <w:abstractNumId w:val="30"/>
  </w:num>
  <w:num w:numId="25">
    <w:abstractNumId w:val="33"/>
  </w:num>
  <w:num w:numId="26">
    <w:abstractNumId w:val="22"/>
  </w:num>
  <w:num w:numId="27">
    <w:abstractNumId w:val="18"/>
  </w:num>
  <w:num w:numId="28">
    <w:abstractNumId w:val="8"/>
  </w:num>
  <w:num w:numId="29">
    <w:abstractNumId w:val="19"/>
  </w:num>
  <w:num w:numId="30">
    <w:abstractNumId w:val="2"/>
  </w:num>
  <w:num w:numId="31">
    <w:abstractNumId w:val="10"/>
  </w:num>
  <w:num w:numId="32">
    <w:abstractNumId w:val="26"/>
  </w:num>
  <w:num w:numId="33">
    <w:abstractNumId w:val="40"/>
  </w:num>
  <w:num w:numId="34">
    <w:abstractNumId w:val="6"/>
  </w:num>
  <w:num w:numId="35">
    <w:abstractNumId w:val="16"/>
  </w:num>
  <w:num w:numId="36">
    <w:abstractNumId w:val="13"/>
  </w:num>
  <w:num w:numId="37">
    <w:abstractNumId w:val="38"/>
  </w:num>
  <w:num w:numId="38">
    <w:abstractNumId w:val="11"/>
  </w:num>
  <w:num w:numId="39">
    <w:abstractNumId w:val="9"/>
  </w:num>
  <w:num w:numId="40">
    <w:abstractNumId w:val="27"/>
  </w:num>
  <w:num w:numId="41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0939"/>
    <w:rsid w:val="000313AD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65619"/>
    <w:rsid w:val="00067D3E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583"/>
    <w:rsid w:val="000B397E"/>
    <w:rsid w:val="000B5BD3"/>
    <w:rsid w:val="000C28A2"/>
    <w:rsid w:val="000C2BBA"/>
    <w:rsid w:val="000C4333"/>
    <w:rsid w:val="000D11A2"/>
    <w:rsid w:val="000D259E"/>
    <w:rsid w:val="000D337C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257A8"/>
    <w:rsid w:val="00131719"/>
    <w:rsid w:val="0013378F"/>
    <w:rsid w:val="00133AAF"/>
    <w:rsid w:val="0013745E"/>
    <w:rsid w:val="00141754"/>
    <w:rsid w:val="00142A93"/>
    <w:rsid w:val="00151F42"/>
    <w:rsid w:val="0015773E"/>
    <w:rsid w:val="0016462C"/>
    <w:rsid w:val="00165EFF"/>
    <w:rsid w:val="00166F02"/>
    <w:rsid w:val="00170DFA"/>
    <w:rsid w:val="0017739A"/>
    <w:rsid w:val="00181AA9"/>
    <w:rsid w:val="001838F0"/>
    <w:rsid w:val="00183E76"/>
    <w:rsid w:val="0018623F"/>
    <w:rsid w:val="00186C93"/>
    <w:rsid w:val="00190CB6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0DC"/>
    <w:rsid w:val="00206CCD"/>
    <w:rsid w:val="0020732D"/>
    <w:rsid w:val="00214723"/>
    <w:rsid w:val="00220158"/>
    <w:rsid w:val="002212BC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A42A3"/>
    <w:rsid w:val="002B4803"/>
    <w:rsid w:val="002B54F8"/>
    <w:rsid w:val="002B7340"/>
    <w:rsid w:val="002B7CB4"/>
    <w:rsid w:val="002C069C"/>
    <w:rsid w:val="002C1553"/>
    <w:rsid w:val="002C3913"/>
    <w:rsid w:val="002C6855"/>
    <w:rsid w:val="002C7347"/>
    <w:rsid w:val="002D0498"/>
    <w:rsid w:val="002D43FF"/>
    <w:rsid w:val="002D691E"/>
    <w:rsid w:val="002D728A"/>
    <w:rsid w:val="002E5AD4"/>
    <w:rsid w:val="002F2D4E"/>
    <w:rsid w:val="002F427F"/>
    <w:rsid w:val="00306C29"/>
    <w:rsid w:val="00310B41"/>
    <w:rsid w:val="003254D8"/>
    <w:rsid w:val="00326CCB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4E91"/>
    <w:rsid w:val="00386132"/>
    <w:rsid w:val="00395E63"/>
    <w:rsid w:val="00396C58"/>
    <w:rsid w:val="003A78CE"/>
    <w:rsid w:val="003A7BAB"/>
    <w:rsid w:val="003A7BB7"/>
    <w:rsid w:val="003B4182"/>
    <w:rsid w:val="003C00A2"/>
    <w:rsid w:val="003C22E7"/>
    <w:rsid w:val="003C714E"/>
    <w:rsid w:val="003D30CF"/>
    <w:rsid w:val="003D568E"/>
    <w:rsid w:val="003E0FA0"/>
    <w:rsid w:val="003E203F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B48"/>
    <w:rsid w:val="004D652A"/>
    <w:rsid w:val="004D7BA2"/>
    <w:rsid w:val="004D7BF8"/>
    <w:rsid w:val="004E6DF0"/>
    <w:rsid w:val="004F1B27"/>
    <w:rsid w:val="004F2837"/>
    <w:rsid w:val="004F7808"/>
    <w:rsid w:val="004F7D55"/>
    <w:rsid w:val="00500ECA"/>
    <w:rsid w:val="00501738"/>
    <w:rsid w:val="00501C42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362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1A48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6DE5"/>
    <w:rsid w:val="00657A23"/>
    <w:rsid w:val="00657B50"/>
    <w:rsid w:val="006658D1"/>
    <w:rsid w:val="006765A9"/>
    <w:rsid w:val="006829E5"/>
    <w:rsid w:val="00682C84"/>
    <w:rsid w:val="00687499"/>
    <w:rsid w:val="00690510"/>
    <w:rsid w:val="006935D3"/>
    <w:rsid w:val="00697253"/>
    <w:rsid w:val="00697777"/>
    <w:rsid w:val="006A1F6F"/>
    <w:rsid w:val="006A3066"/>
    <w:rsid w:val="006A5443"/>
    <w:rsid w:val="006C019F"/>
    <w:rsid w:val="006C7BF1"/>
    <w:rsid w:val="006D3232"/>
    <w:rsid w:val="006D7A5E"/>
    <w:rsid w:val="006D7BED"/>
    <w:rsid w:val="006E23AC"/>
    <w:rsid w:val="006E65B1"/>
    <w:rsid w:val="006E6645"/>
    <w:rsid w:val="006E6B35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33742"/>
    <w:rsid w:val="00735601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7077"/>
    <w:rsid w:val="007816D0"/>
    <w:rsid w:val="00782A62"/>
    <w:rsid w:val="00785982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2920"/>
    <w:rsid w:val="007F4977"/>
    <w:rsid w:val="00807B55"/>
    <w:rsid w:val="008175D7"/>
    <w:rsid w:val="00826310"/>
    <w:rsid w:val="00834684"/>
    <w:rsid w:val="00842375"/>
    <w:rsid w:val="008447A8"/>
    <w:rsid w:val="00855DF0"/>
    <w:rsid w:val="00857DF5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01D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5757"/>
    <w:rsid w:val="008F7CAA"/>
    <w:rsid w:val="00902646"/>
    <w:rsid w:val="00902FEB"/>
    <w:rsid w:val="009061B1"/>
    <w:rsid w:val="00906898"/>
    <w:rsid w:val="009103D2"/>
    <w:rsid w:val="00913F89"/>
    <w:rsid w:val="00921F14"/>
    <w:rsid w:val="00922DB6"/>
    <w:rsid w:val="00924AC0"/>
    <w:rsid w:val="00926993"/>
    <w:rsid w:val="00927785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A30"/>
    <w:rsid w:val="00992B56"/>
    <w:rsid w:val="00993ABF"/>
    <w:rsid w:val="009962BD"/>
    <w:rsid w:val="009971BF"/>
    <w:rsid w:val="009A397C"/>
    <w:rsid w:val="009B5BE5"/>
    <w:rsid w:val="009B5E3F"/>
    <w:rsid w:val="009B672C"/>
    <w:rsid w:val="009C71B6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6A9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3278F"/>
    <w:rsid w:val="00A35180"/>
    <w:rsid w:val="00A37D0C"/>
    <w:rsid w:val="00A45751"/>
    <w:rsid w:val="00A5196D"/>
    <w:rsid w:val="00A5411B"/>
    <w:rsid w:val="00A54DA3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E5FC2"/>
    <w:rsid w:val="00AF0E83"/>
    <w:rsid w:val="00AF15DB"/>
    <w:rsid w:val="00AF1848"/>
    <w:rsid w:val="00AF2DF5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2E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4494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3DDE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07FF9"/>
    <w:rsid w:val="00C14673"/>
    <w:rsid w:val="00C17DF5"/>
    <w:rsid w:val="00C17FA5"/>
    <w:rsid w:val="00C22337"/>
    <w:rsid w:val="00C30A09"/>
    <w:rsid w:val="00C41A3F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B4039"/>
    <w:rsid w:val="00CC0636"/>
    <w:rsid w:val="00CC0DE7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4D0F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516E7"/>
    <w:rsid w:val="00D54CB2"/>
    <w:rsid w:val="00D56A3B"/>
    <w:rsid w:val="00D572EE"/>
    <w:rsid w:val="00D71C2F"/>
    <w:rsid w:val="00D77038"/>
    <w:rsid w:val="00D825E7"/>
    <w:rsid w:val="00D90AC1"/>
    <w:rsid w:val="00D92E3E"/>
    <w:rsid w:val="00DA09E7"/>
    <w:rsid w:val="00DB0534"/>
    <w:rsid w:val="00DB1A63"/>
    <w:rsid w:val="00DB3B36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7A22"/>
    <w:rsid w:val="00E4558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E750A"/>
    <w:rsid w:val="00EF36B7"/>
    <w:rsid w:val="00EF762C"/>
    <w:rsid w:val="00F120F1"/>
    <w:rsid w:val="00F16FE4"/>
    <w:rsid w:val="00F21278"/>
    <w:rsid w:val="00F25AA7"/>
    <w:rsid w:val="00F30D33"/>
    <w:rsid w:val="00F31114"/>
    <w:rsid w:val="00F428E3"/>
    <w:rsid w:val="00F504B9"/>
    <w:rsid w:val="00F51ADB"/>
    <w:rsid w:val="00F54D68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73C5"/>
    <w:rsid w:val="00FA14CC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3F324-80D8-4048-8F08-5BE9BB16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12</Pages>
  <Words>3474</Words>
  <Characters>19110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22539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Luis Alberto Apolinario Zárate</cp:lastModifiedBy>
  <cp:revision>601</cp:revision>
  <cp:lastPrinted>2019-09-05T16:41:00Z</cp:lastPrinted>
  <dcterms:created xsi:type="dcterms:W3CDTF">2019-01-24T19:07:00Z</dcterms:created>
  <dcterms:modified xsi:type="dcterms:W3CDTF">2023-10-25T15:19:00Z</dcterms:modified>
</cp:coreProperties>
</file>