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7E1312DB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86C4E">
        <w:rPr>
          <w:rFonts w:ascii="Arial" w:eastAsia="Times New Roman" w:hAnsi="Arial" w:cs="Arial"/>
          <w:b/>
          <w:bCs/>
          <w:color w:val="000000"/>
          <w:lang w:val="es-PE" w:eastAsia="es-PE"/>
        </w:rPr>
        <w:t>N°13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FA5E872" w:rsidR="00A11372" w:rsidRPr="00770BAB" w:rsidRDefault="003A7BB7" w:rsidP="00770BAB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386C4E" w:rsidRPr="00386C4E">
        <w:rPr>
          <w:rFonts w:ascii="Arial" w:hAnsi="Arial" w:cs="Arial"/>
          <w:b/>
          <w:bCs/>
          <w:iCs/>
          <w:sz w:val="22"/>
          <w:szCs w:val="22"/>
        </w:rPr>
        <w:t>ESPECIALISTA EN SEGUIM</w:t>
      </w:r>
      <w:r w:rsidR="00770BAB">
        <w:rPr>
          <w:rFonts w:ascii="Arial" w:hAnsi="Arial" w:cs="Arial"/>
          <w:b/>
          <w:bCs/>
          <w:iCs/>
          <w:sz w:val="22"/>
          <w:szCs w:val="22"/>
        </w:rPr>
        <w:t>IENTO DE PROYECTOS DE INVERSIÓN.</w:t>
      </w:r>
    </w:p>
    <w:tbl>
      <w:tblPr>
        <w:tblW w:w="8683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603"/>
        <w:gridCol w:w="2741"/>
        <w:gridCol w:w="1229"/>
        <w:gridCol w:w="1360"/>
      </w:tblGrid>
      <w:tr w:rsidR="001838F0" w:rsidRPr="0071330C" w14:paraId="50B331A0" w14:textId="77777777" w:rsidTr="00770BAB">
        <w:trPr>
          <w:trHeight w:val="4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770BAB">
        <w:trPr>
          <w:trHeight w:val="6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FDC496C" w:rsidR="001838F0" w:rsidRPr="00DF2C54" w:rsidRDefault="00AD5CEC" w:rsidP="001525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F2C5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A6A0DD0" w:rsidR="001838F0" w:rsidRPr="00DF2C54" w:rsidRDefault="00386C4E" w:rsidP="00A113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F2C54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CA73" w14:textId="5C6B554B" w:rsidR="00656DE5" w:rsidRPr="00DF2C54" w:rsidRDefault="00386C4E" w:rsidP="00770BA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2C54">
              <w:rPr>
                <w:rFonts w:ascii="Arial" w:hAnsi="Arial" w:cs="Arial"/>
                <w:bCs/>
                <w:iCs/>
                <w:sz w:val="20"/>
                <w:szCs w:val="20"/>
              </w:rPr>
              <w:t>ESPECIALISTA EN SEGUIMIENTO DE PROYECTOS DE INVERSIÓN</w:t>
            </w:r>
          </w:p>
          <w:p w14:paraId="0C1A8650" w14:textId="55B6A2B5" w:rsidR="00186C93" w:rsidRPr="00DF2C54" w:rsidRDefault="00186C93" w:rsidP="00770B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DF2C5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F2C5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51772" w:rsidRPr="00DF2C5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DF2C54" w:rsidRDefault="00951772" w:rsidP="00A11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DF2C54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3C88A75C" w14:textId="77777777" w:rsidR="00770BAB" w:rsidRDefault="00770BAB" w:rsidP="00770BAB">
      <w:pPr>
        <w:rPr>
          <w:rFonts w:ascii="Arial" w:eastAsia="Times New Roman" w:hAnsi="Arial" w:cs="Arial"/>
          <w:b/>
          <w:w w:val="102"/>
          <w:sz w:val="22"/>
          <w:szCs w:val="22"/>
        </w:rPr>
      </w:pPr>
    </w:p>
    <w:p w14:paraId="45CBC465" w14:textId="600D778C" w:rsidR="007F2920" w:rsidRPr="00770BAB" w:rsidRDefault="0076016D" w:rsidP="00770BAB">
      <w:pPr>
        <w:spacing w:after="160" w:line="259" w:lineRule="auto"/>
        <w:rPr>
          <w:rFonts w:ascii="Arial" w:hAnsi="Arial" w:cs="Arial"/>
          <w:bCs/>
          <w:iCs/>
          <w:sz w:val="22"/>
          <w:szCs w:val="22"/>
        </w:rPr>
      </w:pP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386C4E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386C4E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386C4E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="00386C4E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13</w:t>
      </w:r>
      <w:r w:rsidR="00951772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386C4E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386C4E">
        <w:rPr>
          <w:rFonts w:ascii="Arial" w:hAnsi="Arial" w:cs="Arial"/>
          <w:bCs/>
          <w:iCs/>
          <w:sz w:val="22"/>
          <w:szCs w:val="22"/>
        </w:rPr>
        <w:t>ESPECIALISTA EN SEGUIMIENTO DE PROYECTOS DE INVERSIÓN</w:t>
      </w:r>
      <w:r w:rsidR="00386C4E" w:rsidRPr="00367FF8">
        <w:rPr>
          <w:rFonts w:ascii="Arial" w:hAnsi="Arial" w:cs="Arial"/>
          <w:bCs/>
          <w:iCs/>
          <w:sz w:val="22"/>
          <w:szCs w:val="22"/>
        </w:rPr>
        <w:t xml:space="preserve"> </w:t>
      </w: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24D4F721" w:rsidR="001E577A" w:rsidRPr="00386C4E" w:rsidRDefault="00386C4E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  <w:t>I.</w:t>
            </w:r>
            <w:r w:rsidR="001E577A" w:rsidRPr="00386C4E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  <w:t xml:space="preserve">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433E4B52" w:rsidR="001E577A" w:rsidRPr="00FC1B46" w:rsidRDefault="00384E91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48652F">
              <w:rPr>
                <w:rFonts w:ascii="Arial" w:hAnsi="Arial" w:cs="Arial"/>
                <w:bCs/>
                <w:iCs/>
                <w:sz w:val="22"/>
                <w:szCs w:val="22"/>
              </w:rPr>
              <w:t>Oficina de Planeamiento, Presupuesto y Seguimiento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795635BE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386C4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13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45A7CEDA" w:rsidR="000F14DE" w:rsidRPr="000F14DE" w:rsidRDefault="001E577A" w:rsidP="00384E9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386C4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3521913B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386C4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13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4865C7A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="00386C4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4CA01E92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386C4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</w:t>
      </w:r>
      <w:r w:rsidR="00CC151F" w:rsidRPr="00F27731">
        <w:rPr>
          <w:rFonts w:ascii="Arial" w:eastAsia="Times New Roman" w:hAnsi="Arial" w:cs="Arial"/>
          <w:sz w:val="20"/>
          <w:szCs w:val="20"/>
        </w:rPr>
        <w:t>durante los tres (3</w:t>
      </w:r>
      <w:r w:rsidR="000F175E" w:rsidRPr="00F27731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65E6C39F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F27731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237"/>
        <w:gridCol w:w="223"/>
        <w:gridCol w:w="1317"/>
        <w:gridCol w:w="1403"/>
      </w:tblGrid>
      <w:tr w:rsidR="00B51BA9" w:rsidRPr="00DB2BB1" w14:paraId="11F3C711" w14:textId="77777777" w:rsidTr="00F31173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AB5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E72" w14:textId="77777777" w:rsidR="00B51BA9" w:rsidRPr="00DB2BB1" w:rsidRDefault="00B51BA9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  ANEXO </w:t>
            </w:r>
            <w:proofErr w:type="spellStart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2F9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B51BA9" w:rsidRPr="00DB2BB1" w14:paraId="3EC095D0" w14:textId="77777777" w:rsidTr="00F31173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D46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CRITERIOS DE EVALUACIÓN CURRICULAR (*)</w:t>
            </w:r>
          </w:p>
        </w:tc>
      </w:tr>
      <w:tr w:rsidR="00B51BA9" w:rsidRPr="00DB2BB1" w14:paraId="48FE0A9E" w14:textId="77777777" w:rsidTr="00F31173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F2A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FF6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408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B34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1DA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51BA9" w:rsidRPr="00DB2BB1" w14:paraId="2CF0CBE9" w14:textId="77777777" w:rsidTr="00F31173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1BE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7C4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9B4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5D83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639A" w14:textId="77777777" w:rsidR="00B51BA9" w:rsidRPr="00DB2BB1" w:rsidRDefault="00B51BA9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51BA9" w:rsidRPr="00DB2BB1" w14:paraId="7A14A749" w14:textId="77777777" w:rsidTr="00F31173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B6FA1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63FFE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1B836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MAXIMO</w:t>
            </w:r>
          </w:p>
        </w:tc>
      </w:tr>
      <w:tr w:rsidR="00B51BA9" w:rsidRPr="00DB2BB1" w14:paraId="17880DBD" w14:textId="77777777" w:rsidTr="00F31173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29A27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7CBF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762B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B51BA9" w:rsidRPr="00DB2BB1" w14:paraId="481F3B9F" w14:textId="77777777" w:rsidTr="00F31173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D563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CFA" w14:textId="77777777" w:rsidR="00B51BA9" w:rsidRPr="00DB2BB1" w:rsidRDefault="00B51BA9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REQUISITOS MINIMO SOLICITADO</w:t>
            </w:r>
          </w:p>
          <w:p w14:paraId="1C304FE2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B82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BDE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0CBB95E9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1089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67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B77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9D6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28DCD041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C3D8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1C9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E54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BFB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164C60C4" w14:textId="77777777" w:rsidTr="00F31173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1FCF" w14:textId="77777777" w:rsidR="00B51BA9" w:rsidRPr="00DB2BB1" w:rsidRDefault="00B51BA9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872C02" w14:textId="77777777" w:rsidR="00B51BA9" w:rsidRPr="00DB2BB1" w:rsidRDefault="00B51BA9" w:rsidP="00F311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A1A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C2F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517CFFD3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02F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92D2" w14:textId="77777777" w:rsidR="00B51BA9" w:rsidRPr="00DB2BB1" w:rsidRDefault="00B51BA9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FC4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50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02A0708A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F1ECA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CC2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3C795BFE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DFC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6CE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249E428E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1E58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95B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16E2F4C7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E9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3F6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1DBBA0A6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C016C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325" w14:textId="77777777" w:rsidR="00B51BA9" w:rsidRPr="00DB2BB1" w:rsidRDefault="00B51BA9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666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65F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0E215C6A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B46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04B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0A85AC09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021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7EE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4FB2B1CB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31804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C33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5C69C396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122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7EA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B51BA9" w:rsidRPr="00DB2BB1" w14:paraId="3B3C66DF" w14:textId="77777777" w:rsidTr="00F31173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BA745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B278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C78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092" w14:textId="77777777" w:rsidR="00B51BA9" w:rsidRPr="00DB2BB1" w:rsidRDefault="00B51BA9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17435DF1" w14:textId="77777777" w:rsidR="00B51BA9" w:rsidRPr="00DB2BB1" w:rsidRDefault="00B51BA9" w:rsidP="00B51BA9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0E77B3BB" w14:textId="77777777" w:rsidR="00B51BA9" w:rsidRPr="00DB2BB1" w:rsidRDefault="00B51BA9" w:rsidP="00B51BA9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2136C3DC" w14:textId="77777777" w:rsidR="00B51BA9" w:rsidRPr="00DB2BB1" w:rsidRDefault="00B51BA9" w:rsidP="00B51BA9">
      <w:pPr>
        <w:ind w:right="31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</w:pP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 xml:space="preserve">(*) Los criterios de la evaluación Curricular serán establecidos por la Oficina de Administración y Finanzas – Área de Recursos Humanos, en coordinación con el área usuaria. </w:t>
      </w:r>
    </w:p>
    <w:p w14:paraId="4D0487DE" w14:textId="77777777" w:rsidR="00B51BA9" w:rsidRPr="00DB2BB1" w:rsidRDefault="00B51BA9" w:rsidP="00B51BA9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41DD2B49" w14:textId="77777777" w:rsidR="00B51BA9" w:rsidRPr="00DB2BB1" w:rsidRDefault="00B51BA9" w:rsidP="00B51BA9">
      <w:p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CD26EFA" w14:textId="77777777" w:rsidR="00B51BA9" w:rsidRPr="00DB2BB1" w:rsidRDefault="00B51BA9" w:rsidP="00B51BA9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0FF85666" w14:textId="77777777" w:rsidR="00B51BA9" w:rsidRDefault="00B51BA9" w:rsidP="00B51BA9">
      <w:pPr>
        <w:jc w:val="center"/>
        <w:rPr>
          <w:rFonts w:ascii="Arial" w:hAnsi="Arial" w:cs="Arial"/>
          <w:b/>
          <w:sz w:val="22"/>
          <w:szCs w:val="22"/>
        </w:rPr>
      </w:pPr>
    </w:p>
    <w:p w14:paraId="451737E8" w14:textId="77777777" w:rsidR="00B51BA9" w:rsidRDefault="00B51BA9" w:rsidP="00B51BA9">
      <w:pPr>
        <w:jc w:val="center"/>
        <w:rPr>
          <w:rFonts w:ascii="Arial" w:hAnsi="Arial" w:cs="Arial"/>
          <w:b/>
          <w:sz w:val="22"/>
          <w:szCs w:val="22"/>
        </w:rPr>
      </w:pPr>
    </w:p>
    <w:p w14:paraId="3921E3B0" w14:textId="26C8A99B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7B1F6F7B" w14:textId="0004A92A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4DDA5DE3" w14:textId="4D50BF0F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2DBE71E0" w14:textId="7E236687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2F21462D" w14:textId="2A8DED03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21CA5C91" w14:textId="6B4DDD4C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252F9669" w14:textId="2DA9FFE7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6DCB1EE0" w14:textId="77777777" w:rsidR="00B51BA9" w:rsidRDefault="00B51BA9" w:rsidP="00386C4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0C0E7BE" w14:textId="4EF21BD0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05</w:t>
      </w:r>
    </w:p>
    <w:p w14:paraId="5387134D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FC6269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10585680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27FB25D2" w14:textId="77777777" w:rsidR="00386C4E" w:rsidRPr="00017E78" w:rsidRDefault="00386C4E" w:rsidP="00386C4E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68E6C167" w14:textId="77777777" w:rsidR="00386C4E" w:rsidRPr="00017E78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Pr="00A04192">
        <w:rPr>
          <w:rFonts w:ascii="Arial" w:hAnsi="Arial" w:cs="Arial"/>
          <w:b/>
          <w:bCs/>
          <w:iCs/>
          <w:sz w:val="22"/>
          <w:szCs w:val="22"/>
        </w:rPr>
        <w:t>Oficina de Planeamiento, Presupuesto y Seguimiento</w:t>
      </w:r>
    </w:p>
    <w:p w14:paraId="77967DA2" w14:textId="77777777" w:rsidR="00386C4E" w:rsidRPr="00367FF8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367FF8">
        <w:rPr>
          <w:rFonts w:ascii="Arial" w:hAnsi="Arial" w:cs="Arial"/>
          <w:bCs/>
          <w:iCs/>
          <w:sz w:val="22"/>
          <w:szCs w:val="22"/>
        </w:rPr>
        <w:t xml:space="preserve">Contratar los servicios de UN (01) </w:t>
      </w:r>
      <w:r>
        <w:rPr>
          <w:rFonts w:ascii="Arial" w:hAnsi="Arial" w:cs="Arial"/>
          <w:bCs/>
          <w:iCs/>
          <w:sz w:val="22"/>
          <w:szCs w:val="22"/>
        </w:rPr>
        <w:t>especialista en seguimiento de proyectos de inversión</w:t>
      </w:r>
      <w:r w:rsidRPr="00367FF8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35E9B4C" w14:textId="77777777" w:rsidR="00386C4E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3F789E95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Decreto Legislativo N° 1057 "Regula el Régimen Especial de Contratación Administrativa de Servicios".</w:t>
      </w:r>
    </w:p>
    <w:p w14:paraId="11688A28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Reglamento del Decreto Legislativo N° 1057 que regula el Régimen Especial de Contratación Administrativa de Servicios.</w:t>
      </w:r>
    </w:p>
    <w:p w14:paraId="7288D3B4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Decreto Supremo N° 075-2008-PCM, modificado por Decreto Supremo N° 065-2011-PCM.</w:t>
      </w:r>
    </w:p>
    <w:p w14:paraId="062EA2EB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Decreto Supremo N° 008-2014-MINAGRI – Reglamento de Organización y Funciones del Ministerio de Agricultura y Riego y modificatorias.</w:t>
      </w:r>
    </w:p>
    <w:p w14:paraId="462CD4E2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40EFAED4" w14:textId="77777777" w:rsidR="00386C4E" w:rsidRPr="00FC6D8A" w:rsidRDefault="00386C4E" w:rsidP="00206712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4612D4DB" w14:textId="77777777" w:rsidR="00386C4E" w:rsidRPr="008D4416" w:rsidRDefault="00386C4E" w:rsidP="00386C4E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5B7CA73B" w14:textId="77777777" w:rsidR="00386C4E" w:rsidRPr="00017E78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58285BD2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Conducir y coordinar la elaboración de los informes y reportes de seguimiento y evaluación de proyectos de inversión pública</w:t>
      </w:r>
    </w:p>
    <w:p w14:paraId="1F577BE1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Proponer el desarrollo de un sistema y evaluación de los planes institucionales</w:t>
      </w:r>
    </w:p>
    <w:p w14:paraId="7A38327D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 xml:space="preserve">Administrar el sistema de Seguimiento y Evaluación </w:t>
      </w:r>
    </w:p>
    <w:p w14:paraId="58F5D7C0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Coordinar con las áreas técnicas el cumplimiento de las metas e indicadores de los proyectos</w:t>
      </w:r>
    </w:p>
    <w:p w14:paraId="6A62C1A1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Registrar la información sobre avances en las actividades y cumplimiento de objetivos y metas de los componentes que forman parte de los Planes Institucionales</w:t>
      </w:r>
    </w:p>
    <w:p w14:paraId="69AB385E" w14:textId="77777777" w:rsidR="00386C4E" w:rsidRPr="00FC6D8A" w:rsidRDefault="00386C4E" w:rsidP="00386C4E">
      <w:pPr>
        <w:numPr>
          <w:ilvl w:val="0"/>
          <w:numId w:val="38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 xml:space="preserve">   Mantener actualizados los informes y registros de avance requeridos por las entidades financieras, órganos del Sector, del Ministerio de Economía y Finanzas y demás entidades.</w:t>
      </w:r>
    </w:p>
    <w:p w14:paraId="689E6A27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>Coordinar con las direcciones y oficinas el estado de avance y la presentación de los informes sobre el estado de ejecución de los proyectos, indicadores de impacto, de resultado, de producto, de insumo y el cumplimiento de objetivos y metas.</w:t>
      </w:r>
    </w:p>
    <w:p w14:paraId="205B4B9D" w14:textId="77777777" w:rsidR="00386C4E" w:rsidRPr="00FC6D8A" w:rsidRDefault="00386C4E" w:rsidP="00386C4E">
      <w:pPr>
        <w:numPr>
          <w:ilvl w:val="0"/>
          <w:numId w:val="38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C6D8A">
        <w:rPr>
          <w:rFonts w:ascii="Arial" w:hAnsi="Arial" w:cs="Arial"/>
          <w:sz w:val="20"/>
          <w:szCs w:val="20"/>
        </w:rPr>
        <w:t xml:space="preserve">Otras funciones asignadas por la jefatura inmediata, relacionada a la misión del puesto.       </w:t>
      </w:r>
    </w:p>
    <w:p w14:paraId="697079A9" w14:textId="68EB80D5" w:rsidR="00386C4E" w:rsidRDefault="00386C4E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2DBA6464" w14:textId="62AA1137" w:rsidR="00AD787F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3163505C" w14:textId="4A0EAA0B" w:rsidR="00AD787F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2F9E52EC" w14:textId="67DFE2ED" w:rsidR="00AD787F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3118AF9" w14:textId="230D2303" w:rsidR="00AD787F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A04F88A" w14:textId="3BBFA6CA" w:rsidR="00AD787F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26E795C" w14:textId="77777777" w:rsidR="00AD787F" w:rsidRPr="00017E78" w:rsidRDefault="00AD787F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AF82801" w14:textId="77777777" w:rsidR="00386C4E" w:rsidRPr="00017E78" w:rsidRDefault="00386C4E" w:rsidP="00386C4E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D237F83" w14:textId="77777777" w:rsidR="00386C4E" w:rsidRPr="00017E78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386C4E" w:rsidRPr="00017E78" w14:paraId="7E8F2D17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15DF9391" w14:textId="77777777" w:rsidR="00386C4E" w:rsidRPr="00017E78" w:rsidRDefault="00386C4E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3D2CE663" w14:textId="77777777" w:rsidR="00386C4E" w:rsidRPr="00017E78" w:rsidRDefault="00386C4E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386C4E" w:rsidRPr="00017E78" w14:paraId="7B977CDB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5C1D659" w14:textId="77777777" w:rsidR="00386C4E" w:rsidRPr="00AE5126" w:rsidRDefault="00386C4E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126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0848EC14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Experiencia general laboral no menor de ocho (08) años, en el sector público o privado.</w:t>
            </w:r>
          </w:p>
          <w:p w14:paraId="70956346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Experiencia específica en formulación, ejecución y/o supervisión de proyectos según el Sistema Nacional de Inversión Pública e Invierte.PE. no menor de tres años (03) en el sector público o privado.</w:t>
            </w:r>
          </w:p>
          <w:p w14:paraId="2E0E747C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Experiencia laboral especifica en el sector público de tres (03) años.</w:t>
            </w:r>
          </w:p>
        </w:tc>
      </w:tr>
      <w:tr w:rsidR="00386C4E" w:rsidRPr="00017E78" w14:paraId="16595680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D9DC628" w14:textId="77777777" w:rsidR="00386C4E" w:rsidRPr="00AE5126" w:rsidRDefault="00386C4E" w:rsidP="0061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8C7DC40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Liderazgo, orientación a resultados, toma de decisiones, capacidad analítica, capacidad crítica.</w:t>
            </w:r>
          </w:p>
        </w:tc>
      </w:tr>
      <w:tr w:rsidR="00386C4E" w:rsidRPr="00017E78" w14:paraId="62D666DF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C581868" w14:textId="77777777" w:rsidR="00386C4E" w:rsidRPr="00AE5126" w:rsidRDefault="00386C4E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5AAD388E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Título profesional en Ingeniería, Economía, Administración.</w:t>
            </w:r>
          </w:p>
          <w:p w14:paraId="425F7348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Colegiado y Habilitado.</w:t>
            </w:r>
          </w:p>
        </w:tc>
      </w:tr>
      <w:tr w:rsidR="00386C4E" w:rsidRPr="00017E78" w14:paraId="62B862BA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635716C" w14:textId="77777777" w:rsidR="00386C4E" w:rsidRPr="00AE5126" w:rsidRDefault="00386C4E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5B4D121A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Identificación, Formulación, Evaluación y Gestión de Proyectos Sociales y Productivos de Inversión Pública</w:t>
            </w:r>
          </w:p>
          <w:p w14:paraId="36BC4F6E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Proyectos de Inversión Pública en el Marco del Sistema INVIERTE.PE</w:t>
            </w:r>
          </w:p>
          <w:p w14:paraId="713FFC95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Valorización y Liquidación de Obra</w:t>
            </w:r>
          </w:p>
          <w:p w14:paraId="3EC9E73A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Contrataciones del Estado</w:t>
            </w:r>
          </w:p>
        </w:tc>
      </w:tr>
      <w:tr w:rsidR="00386C4E" w:rsidRPr="00017E78" w14:paraId="5925F275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6B05E6C" w14:textId="77777777" w:rsidR="00386C4E" w:rsidRPr="00AE5126" w:rsidRDefault="00386C4E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472341CE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Conocimiento de Ofimática</w:t>
            </w:r>
          </w:p>
          <w:p w14:paraId="2EA05D3E" w14:textId="77777777" w:rsidR="00386C4E" w:rsidRPr="00AE5126" w:rsidRDefault="00386C4E" w:rsidP="00386C4E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126">
              <w:rPr>
                <w:rFonts w:ascii="Arial" w:hAnsi="Arial" w:cs="Arial"/>
                <w:sz w:val="20"/>
                <w:szCs w:val="20"/>
              </w:rPr>
              <w:t>MS PROJETC</w:t>
            </w:r>
          </w:p>
        </w:tc>
      </w:tr>
    </w:tbl>
    <w:p w14:paraId="1FD351AA" w14:textId="77777777" w:rsidR="00386C4E" w:rsidRDefault="00386C4E" w:rsidP="00386C4E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8F0B476" w14:textId="77777777" w:rsidR="00386C4E" w:rsidRPr="00017E78" w:rsidRDefault="00386C4E" w:rsidP="00386C4E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547D435" w14:textId="77777777" w:rsidR="00386C4E" w:rsidRPr="00017E78" w:rsidRDefault="00386C4E" w:rsidP="00A04192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386C4E" w:rsidRPr="00017E78" w14:paraId="5036D0D4" w14:textId="77777777" w:rsidTr="00611D47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7FA4B7B6" w14:textId="77777777" w:rsidR="00386C4E" w:rsidRPr="00017E78" w:rsidRDefault="00386C4E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6D28C5BD" w14:textId="77777777" w:rsidR="00386C4E" w:rsidRPr="00017E78" w:rsidRDefault="00386C4E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386C4E" w:rsidRPr="00017E78" w14:paraId="44A8E19A" w14:textId="77777777" w:rsidTr="00611D47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61F647E1" w14:textId="77777777" w:rsidR="00386C4E" w:rsidRPr="00AE5126" w:rsidRDefault="00386C4E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>Lugar de prestación del</w:t>
            </w:r>
          </w:p>
          <w:p w14:paraId="40306E09" w14:textId="77777777" w:rsidR="00386C4E" w:rsidRPr="00AE5126" w:rsidRDefault="00386C4E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1CFA2D4F" w14:textId="77777777" w:rsidR="00386C4E" w:rsidRPr="00AE5126" w:rsidRDefault="00386C4E" w:rsidP="00611D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Seguimiento. Sede Central del PSI</w:t>
            </w:r>
          </w:p>
        </w:tc>
      </w:tr>
      <w:tr w:rsidR="00386C4E" w:rsidRPr="00017E78" w14:paraId="33C93F39" w14:textId="77777777" w:rsidTr="00611D47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1DE3A9BD" w14:textId="77777777" w:rsidR="00386C4E" w:rsidRPr="00AE5126" w:rsidRDefault="00386C4E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41F37481" w14:textId="77777777" w:rsidR="00386C4E" w:rsidRPr="00AE5126" w:rsidRDefault="00386C4E" w:rsidP="00611D47">
            <w:pPr>
              <w:ind w:left="720" w:hanging="65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>03 meses</w:t>
            </w:r>
          </w:p>
        </w:tc>
      </w:tr>
      <w:tr w:rsidR="00386C4E" w:rsidRPr="00017E78" w14:paraId="62930465" w14:textId="77777777" w:rsidTr="00611D47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4A8B36B0" w14:textId="77777777" w:rsidR="00386C4E" w:rsidRPr="00AE5126" w:rsidRDefault="00386C4E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59BDD4A1" w14:textId="42283F39" w:rsidR="00386C4E" w:rsidRPr="00AE5126" w:rsidRDefault="00386C4E" w:rsidP="00611D47">
            <w:pPr>
              <w:ind w:left="6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>S/ 10</w:t>
            </w:r>
            <w:r w:rsidR="008623B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E5126">
              <w:rPr>
                <w:rFonts w:ascii="Arial" w:hAnsi="Arial" w:cs="Arial"/>
                <w:bCs/>
                <w:iCs/>
                <w:sz w:val="20"/>
                <w:szCs w:val="20"/>
              </w:rPr>
              <w:t>000.00 (diez mil con 00/100 Soles)</w:t>
            </w:r>
          </w:p>
        </w:tc>
      </w:tr>
    </w:tbl>
    <w:p w14:paraId="3D1C83B6" w14:textId="77777777" w:rsidR="00386C4E" w:rsidRPr="00017E78" w:rsidRDefault="00386C4E" w:rsidP="00386C4E">
      <w:pPr>
        <w:rPr>
          <w:rFonts w:ascii="Arial" w:hAnsi="Arial" w:cs="Arial"/>
          <w:b/>
          <w:i/>
          <w:iCs/>
          <w:sz w:val="22"/>
          <w:szCs w:val="22"/>
        </w:rPr>
      </w:pPr>
    </w:p>
    <w:p w14:paraId="09F5C1F9" w14:textId="77777777" w:rsidR="00386C4E" w:rsidRPr="00224719" w:rsidRDefault="00386C4E" w:rsidP="00386C4E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2549E94B" w14:textId="140A850A" w:rsidR="00030939" w:rsidRPr="00224719" w:rsidRDefault="00030939" w:rsidP="00386C4E">
      <w:pPr>
        <w:jc w:val="center"/>
        <w:rPr>
          <w:rFonts w:ascii="Arial" w:hAnsi="Arial" w:cs="Arial"/>
          <w:sz w:val="22"/>
          <w:szCs w:val="22"/>
        </w:rPr>
      </w:pPr>
    </w:p>
    <w:sectPr w:rsidR="00030939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FC51" w14:textId="77777777" w:rsidR="002A6145" w:rsidRDefault="002A6145" w:rsidP="00FD6F46">
      <w:r>
        <w:separator/>
      </w:r>
    </w:p>
  </w:endnote>
  <w:endnote w:type="continuationSeparator" w:id="0">
    <w:p w14:paraId="710E60B8" w14:textId="77777777" w:rsidR="002A6145" w:rsidRDefault="002A614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AB" w:rsidRPr="00770BAB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A6FF" w14:textId="77777777" w:rsidR="002A6145" w:rsidRDefault="002A6145" w:rsidP="00FD6F46">
      <w:r>
        <w:separator/>
      </w:r>
    </w:p>
  </w:footnote>
  <w:footnote w:type="continuationSeparator" w:id="0">
    <w:p w14:paraId="4B4C3079" w14:textId="77777777" w:rsidR="002A6145" w:rsidRDefault="002A614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4F6598B"/>
    <w:multiLevelType w:val="hybridMultilevel"/>
    <w:tmpl w:val="865CF8E2"/>
    <w:lvl w:ilvl="0" w:tplc="91ACF6A2">
      <w:start w:val="1"/>
      <w:numFmt w:val="upperRoman"/>
      <w:lvlText w:val="%1."/>
      <w:lvlJc w:val="right"/>
      <w:pPr>
        <w:ind w:left="623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47181B95"/>
    <w:multiLevelType w:val="hybridMultilevel"/>
    <w:tmpl w:val="E1088BF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3925"/>
    <w:multiLevelType w:val="hybridMultilevel"/>
    <w:tmpl w:val="002A84D0"/>
    <w:lvl w:ilvl="0" w:tplc="280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5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36"/>
  </w:num>
  <w:num w:numId="5">
    <w:abstractNumId w:val="3"/>
  </w:num>
  <w:num w:numId="6">
    <w:abstractNumId w:val="20"/>
  </w:num>
  <w:num w:numId="7">
    <w:abstractNumId w:val="29"/>
  </w:num>
  <w:num w:numId="8">
    <w:abstractNumId w:val="14"/>
  </w:num>
  <w:num w:numId="9">
    <w:abstractNumId w:val="5"/>
  </w:num>
  <w:num w:numId="10">
    <w:abstractNumId w:val="0"/>
  </w:num>
  <w:num w:numId="11">
    <w:abstractNumId w:val="34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24"/>
  </w:num>
  <w:num w:numId="17">
    <w:abstractNumId w:val="38"/>
  </w:num>
  <w:num w:numId="18">
    <w:abstractNumId w:val="28"/>
  </w:num>
  <w:num w:numId="19">
    <w:abstractNumId w:val="7"/>
  </w:num>
  <w:num w:numId="20">
    <w:abstractNumId w:val="31"/>
  </w:num>
  <w:num w:numId="21">
    <w:abstractNumId w:val="19"/>
  </w:num>
  <w:num w:numId="22">
    <w:abstractNumId w:val="16"/>
  </w:num>
  <w:num w:numId="23">
    <w:abstractNumId w:val="25"/>
  </w:num>
  <w:num w:numId="24">
    <w:abstractNumId w:val="30"/>
  </w:num>
  <w:num w:numId="25">
    <w:abstractNumId w:val="32"/>
  </w:num>
  <w:num w:numId="26">
    <w:abstractNumId w:val="22"/>
  </w:num>
  <w:num w:numId="27">
    <w:abstractNumId w:val="17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26"/>
  </w:num>
  <w:num w:numId="33">
    <w:abstractNumId w:val="39"/>
  </w:num>
  <w:num w:numId="34">
    <w:abstractNumId w:val="6"/>
  </w:num>
  <w:num w:numId="35">
    <w:abstractNumId w:val="15"/>
  </w:num>
  <w:num w:numId="36">
    <w:abstractNumId w:val="12"/>
  </w:num>
  <w:num w:numId="37">
    <w:abstractNumId w:val="37"/>
  </w:num>
  <w:num w:numId="38">
    <w:abstractNumId w:val="10"/>
  </w:num>
  <w:num w:numId="39">
    <w:abstractNumId w:val="21"/>
  </w:num>
  <w:num w:numId="4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13AD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58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251A"/>
    <w:rsid w:val="0015773E"/>
    <w:rsid w:val="0016462C"/>
    <w:rsid w:val="00166F02"/>
    <w:rsid w:val="00170DF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03CB"/>
    <w:rsid w:val="001F32B7"/>
    <w:rsid w:val="00201D2C"/>
    <w:rsid w:val="00203720"/>
    <w:rsid w:val="00204EC4"/>
    <w:rsid w:val="00206712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A6145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2AE8"/>
    <w:rsid w:val="002E5AD4"/>
    <w:rsid w:val="002F2D4E"/>
    <w:rsid w:val="002F427F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4E91"/>
    <w:rsid w:val="00386132"/>
    <w:rsid w:val="00386C4E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6F17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2297"/>
    <w:rsid w:val="0044419C"/>
    <w:rsid w:val="00444BA2"/>
    <w:rsid w:val="004477DB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47D59"/>
    <w:rsid w:val="005520F6"/>
    <w:rsid w:val="00553A34"/>
    <w:rsid w:val="00556D91"/>
    <w:rsid w:val="00557204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DE5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0BAB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623B9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2FEB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2DA4"/>
    <w:rsid w:val="00993ABF"/>
    <w:rsid w:val="009962BD"/>
    <w:rsid w:val="009971BF"/>
    <w:rsid w:val="009A397C"/>
    <w:rsid w:val="009B5BE5"/>
    <w:rsid w:val="009B5E3F"/>
    <w:rsid w:val="009B672C"/>
    <w:rsid w:val="009C3F93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192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5CEC"/>
    <w:rsid w:val="00AD6A8B"/>
    <w:rsid w:val="00AD787F"/>
    <w:rsid w:val="00AE2179"/>
    <w:rsid w:val="00AE373C"/>
    <w:rsid w:val="00AE38A4"/>
    <w:rsid w:val="00AE5126"/>
    <w:rsid w:val="00AE52C4"/>
    <w:rsid w:val="00AE5FC2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1BA9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0AF1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09FA"/>
    <w:rsid w:val="00CB247B"/>
    <w:rsid w:val="00CC0636"/>
    <w:rsid w:val="00CC0DE7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03C3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2C54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27731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14CC"/>
    <w:rsid w:val="00FA38CA"/>
    <w:rsid w:val="00FC4D5A"/>
    <w:rsid w:val="00FC51C2"/>
    <w:rsid w:val="00FC5F48"/>
    <w:rsid w:val="00FC6D8A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CF7A5-4F71-48AE-9B84-0DE7FED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12</Pages>
  <Words>3487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22625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597</cp:revision>
  <cp:lastPrinted>2019-09-05T16:41:00Z</cp:lastPrinted>
  <dcterms:created xsi:type="dcterms:W3CDTF">2019-01-24T19:07:00Z</dcterms:created>
  <dcterms:modified xsi:type="dcterms:W3CDTF">2019-09-09T21:17:00Z</dcterms:modified>
</cp:coreProperties>
</file>